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8" w:rsidRPr="00CB1ECD" w:rsidRDefault="001104C8" w:rsidP="001104C8">
      <w:pPr>
        <w:pStyle w:val="ListParagraph"/>
        <w:numPr>
          <w:ilvl w:val="0"/>
          <w:numId w:val="4"/>
        </w:numPr>
        <w:spacing w:after="0"/>
        <w:ind w:left="0"/>
        <w:rPr>
          <w:color w:val="222A35" w:themeColor="text2" w:themeShade="80"/>
        </w:rPr>
      </w:pPr>
      <w:bookmarkStart w:id="0" w:name="CS_Definition"/>
      <w:r>
        <w:rPr>
          <w:rStyle w:val="Heading4Char"/>
        </w:rPr>
        <w:t xml:space="preserve">Credential </w:t>
      </w:r>
      <w:r w:rsidRPr="00543CEE">
        <w:rPr>
          <w:rStyle w:val="Heading4Char"/>
        </w:rPr>
        <w:t xml:space="preserve">Seeking Cohort </w:t>
      </w:r>
      <w:bookmarkEnd w:id="0"/>
      <w:r w:rsidRPr="00543CEE">
        <w:rPr>
          <w:rStyle w:val="Heading4Char"/>
        </w:rPr>
        <w:t>(defined as 12 completed credits)</w:t>
      </w:r>
      <w:r w:rsidRPr="003F4835">
        <w:rPr>
          <w:b/>
          <w:color w:val="222A35" w:themeColor="text2" w:themeShade="80"/>
        </w:rPr>
        <w:t>:</w:t>
      </w:r>
      <w:r w:rsidRPr="00CB1ECD">
        <w:rPr>
          <w:color w:val="222A35" w:themeColor="text2" w:themeShade="80"/>
        </w:rPr>
        <w:t xml:space="preserve">  </w:t>
      </w:r>
    </w:p>
    <w:p w:rsidR="001104C8" w:rsidRPr="00F3756C" w:rsidRDefault="001104C8" w:rsidP="001104C8">
      <w:pPr>
        <w:rPr>
          <w:color w:val="222A35" w:themeColor="text2" w:themeShade="80"/>
        </w:rPr>
      </w:pPr>
      <w:r>
        <w:rPr>
          <w:color w:val="222A35" w:themeColor="text2" w:themeShade="80"/>
        </w:rPr>
        <w:t>The Credential Seeking</w:t>
      </w:r>
      <w:r w:rsidRPr="00F3756C">
        <w:rPr>
          <w:color w:val="222A35" w:themeColor="text2" w:themeShade="80"/>
        </w:rPr>
        <w:t xml:space="preserve"> </w:t>
      </w:r>
      <w:r>
        <w:rPr>
          <w:color w:val="222A35" w:themeColor="text2" w:themeShade="80"/>
        </w:rPr>
        <w:t>C</w:t>
      </w:r>
      <w:r w:rsidRPr="00F3756C">
        <w:rPr>
          <w:color w:val="222A35" w:themeColor="text2" w:themeShade="80"/>
        </w:rPr>
        <w:t>ohort</w:t>
      </w:r>
      <w:r>
        <w:rPr>
          <w:color w:val="222A35" w:themeColor="text2" w:themeShade="80"/>
        </w:rPr>
        <w:t xml:space="preserve"> is intended to measure students who, based on their course-taking behavior, indicate that they are credential-seeking. It is a subset of the Main Cohort.</w:t>
      </w:r>
      <w:r w:rsidRPr="00545614">
        <w:rPr>
          <w:noProof/>
          <w:color w:val="222A35" w:themeColor="text2" w:themeShade="80"/>
        </w:rPr>
        <w:t xml:space="preserve"> </w:t>
      </w:r>
    </w:p>
    <w:p w:rsidR="001104C8" w:rsidRDefault="001104C8" w:rsidP="001104C8">
      <w:pPr>
        <w:ind w:right="-450"/>
        <w:jc w:val="both"/>
        <w:rPr>
          <w:color w:val="222A35" w:themeColor="text2" w:themeShade="80"/>
        </w:rPr>
      </w:pPr>
      <w:r>
        <w:rPr>
          <w:noProof/>
          <w:color w:val="222A35" w:themeColor="text2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B2C7BC" wp14:editId="6FA53B1B">
                <wp:simplePos x="0" y="0"/>
                <wp:positionH relativeFrom="margin">
                  <wp:posOffset>3552825</wp:posOffset>
                </wp:positionH>
                <wp:positionV relativeFrom="margin">
                  <wp:posOffset>723900</wp:posOffset>
                </wp:positionV>
                <wp:extent cx="2676525" cy="1962150"/>
                <wp:effectExtent l="0" t="0" r="0" b="0"/>
                <wp:wrapSquare wrapText="bothSides"/>
                <wp:docPr id="689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19621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4C8" w:rsidRPr="00545614" w:rsidRDefault="001104C8" w:rsidP="001104C8">
                            <w:pPr>
                              <w:pBdr>
                                <w:top w:val="single" w:sz="8" w:space="10" w:color="5B9BD5" w:themeColor="accent1"/>
                                <w:bottom w:val="single" w:sz="8" w:space="1" w:color="5B9BD5" w:themeColor="accent1"/>
                                <w:between w:val="dotted" w:sz="4" w:space="10" w:color="ADCCEA" w:themeColor="accent1" w:themeTint="7F"/>
                              </w:pBdr>
                              <w:spacing w:after="0"/>
                              <w:ind w:left="-180" w:right="105"/>
                              <w:jc w:val="both"/>
                              <w:rPr>
                                <w:iCs/>
                                <w:color w:val="44546A" w:themeColor="text2"/>
                              </w:rPr>
                            </w:pPr>
                            <w:r w:rsidRPr="008C66A0">
                              <w:rPr>
                                <w:iCs/>
                                <w:color w:val="44546A" w:themeColor="text2"/>
                              </w:rPr>
                              <w:t>The VFA uses student behavior to define credential seeking due to inconsistency and unreliability of a student’s self-report of their intentions to complete a credential.  VFA follows a process that many state-level accountability systems have used, which tracks student behavior (credit accrual) to indicate if they are seeking a formal credential (degree, certificate, diploma, etc.).</w:t>
                            </w:r>
                            <w:r w:rsidRPr="00545614">
                              <w:rPr>
                                <w:iCs/>
                                <w:color w:val="44546A" w:themeColor="text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8288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2C7BC" id="Rectangle 387" o:spid="_x0000_s1026" style="position:absolute;left:0;text-align:left;margin-left:279.75pt;margin-top:57pt;width:210.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" o:allowincell="f" filled="f" fillcolor="#4f81bd" stroked="f">
                <v:shadow color="#2f4d71" offset="1pt,1pt"/>
                <v:textbox inset="14.4pt,0,0,0">
                  <w:txbxContent>
                    <w:p w:rsidR="001104C8" w:rsidRPr="00545614" w:rsidRDefault="001104C8" w:rsidP="001104C8">
                      <w:pPr>
                        <w:pBdr>
                          <w:top w:val="single" w:sz="8" w:space="10" w:color="5B9BD5" w:themeColor="accent1"/>
                          <w:bottom w:val="single" w:sz="8" w:space="1" w:color="5B9BD5" w:themeColor="accent1"/>
                          <w:between w:val="dotted" w:sz="4" w:space="10" w:color="ADCCEA" w:themeColor="accent1" w:themeTint="7F"/>
                        </w:pBdr>
                        <w:spacing w:after="0"/>
                        <w:ind w:left="-180" w:right="105"/>
                        <w:jc w:val="both"/>
                        <w:rPr>
                          <w:iCs/>
                          <w:color w:val="44546A" w:themeColor="text2"/>
                        </w:rPr>
                      </w:pPr>
                      <w:r w:rsidRPr="008C66A0">
                        <w:rPr>
                          <w:iCs/>
                          <w:color w:val="44546A" w:themeColor="text2"/>
                        </w:rPr>
                        <w:t>The VFA uses student behavior to define credential seeking due to inconsistency and unreliability of a student’s self-report of their intentions to complete a credential.  VFA follows a process that many state-level accountability systems have used, which tracks student behavior (credit accrual) to indicate if they are seeking a formal credential (degree, certificate, diploma, etc.).</w:t>
                      </w:r>
                      <w:r w:rsidRPr="00545614">
                        <w:rPr>
                          <w:iCs/>
                          <w:color w:val="44546A" w:themeColor="text2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3756C">
        <w:rPr>
          <w:color w:val="222A35" w:themeColor="text2" w:themeShade="80"/>
        </w:rPr>
        <w:t>For purp</w:t>
      </w:r>
      <w:r>
        <w:rPr>
          <w:color w:val="222A35" w:themeColor="text2" w:themeShade="80"/>
        </w:rPr>
        <w:t>oses of the VFA, the Credential S</w:t>
      </w:r>
      <w:r w:rsidRPr="00F3756C">
        <w:rPr>
          <w:color w:val="222A35" w:themeColor="text2" w:themeShade="80"/>
        </w:rPr>
        <w:t xml:space="preserve">eeking </w:t>
      </w:r>
      <w:r>
        <w:rPr>
          <w:color w:val="222A35" w:themeColor="text2" w:themeShade="80"/>
        </w:rPr>
        <w:t>Cohort</w:t>
      </w:r>
      <w:r w:rsidRPr="00F3756C">
        <w:rPr>
          <w:color w:val="222A35" w:themeColor="text2" w:themeShade="80"/>
        </w:rPr>
        <w:t xml:space="preserve"> is defined as</w:t>
      </w:r>
      <w:r>
        <w:rPr>
          <w:color w:val="222A35" w:themeColor="text2" w:themeShade="80"/>
        </w:rPr>
        <w:t xml:space="preserve"> students in the Main Cohort </w:t>
      </w:r>
      <w:r w:rsidRPr="00F3756C">
        <w:rPr>
          <w:color w:val="222A35" w:themeColor="text2" w:themeShade="80"/>
        </w:rPr>
        <w:t>who have earned 12 semester credit hours (or the equivalent)</w:t>
      </w:r>
      <w:r>
        <w:rPr>
          <w:color w:val="222A35" w:themeColor="text2" w:themeShade="80"/>
        </w:rPr>
        <w:t xml:space="preserve"> at the college</w:t>
      </w:r>
      <w:r w:rsidRPr="00F3756C">
        <w:rPr>
          <w:color w:val="222A35" w:themeColor="text2" w:themeShade="80"/>
        </w:rPr>
        <w:t xml:space="preserve"> </w:t>
      </w:r>
      <w:r>
        <w:t xml:space="preserve">during the first two academic years (by the end of second academic-year of the tracking period). </w:t>
      </w:r>
      <w:r w:rsidRPr="00F3756C">
        <w:rPr>
          <w:color w:val="222A35" w:themeColor="text2" w:themeShade="80"/>
        </w:rPr>
        <w:t xml:space="preserve"> The 12 completed semester credit hours are </w:t>
      </w:r>
      <w:r w:rsidRPr="00A26A91">
        <w:rPr>
          <w:color w:val="222A35" w:themeColor="text2" w:themeShade="80"/>
        </w:rPr>
        <w:t>inclusive of</w:t>
      </w:r>
      <w:r>
        <w:rPr>
          <w:color w:val="222A35" w:themeColor="text2" w:themeShade="80"/>
        </w:rPr>
        <w:t xml:space="preserve"> college-level and</w:t>
      </w:r>
      <w:r w:rsidRPr="00A26A91">
        <w:rPr>
          <w:color w:val="222A35" w:themeColor="text2" w:themeShade="80"/>
        </w:rPr>
        <w:t xml:space="preserve"> </w:t>
      </w:r>
      <w:r w:rsidRPr="00F3756C">
        <w:rPr>
          <w:color w:val="222A35" w:themeColor="text2" w:themeShade="80"/>
        </w:rPr>
        <w:t xml:space="preserve">developmental education coursework—a college may need to create a semester credit hour equivalency for the developmental education coursework if it is not offered for credit.  </w:t>
      </w:r>
      <w:r>
        <w:rPr>
          <w:color w:val="222A35" w:themeColor="text2" w:themeShade="80"/>
        </w:rPr>
        <w:t>T</w:t>
      </w:r>
      <w:r w:rsidRPr="00F3756C">
        <w:rPr>
          <w:color w:val="222A35" w:themeColor="text2" w:themeShade="80"/>
        </w:rPr>
        <w:t xml:space="preserve">he 12 completed semester credit hours </w:t>
      </w:r>
      <w:r>
        <w:rPr>
          <w:color w:val="222A35" w:themeColor="text2" w:themeShade="80"/>
        </w:rPr>
        <w:t>must be earned at the reporting institution within the first two years enrolled at the college, including the summer prior to fall of the cohort year</w:t>
      </w:r>
      <w:r w:rsidRPr="00F3756C">
        <w:rPr>
          <w:color w:val="222A35" w:themeColor="text2" w:themeShade="80"/>
        </w:rPr>
        <w:t xml:space="preserve">. Students who earn a certificate or other formal award of less than 12 </w:t>
      </w:r>
      <w:r>
        <w:rPr>
          <w:color w:val="222A35" w:themeColor="text2" w:themeShade="80"/>
        </w:rPr>
        <w:t xml:space="preserve">semester </w:t>
      </w:r>
      <w:r w:rsidRPr="00F3756C">
        <w:rPr>
          <w:color w:val="222A35" w:themeColor="text2" w:themeShade="80"/>
        </w:rPr>
        <w:t xml:space="preserve">credit hours </w:t>
      </w:r>
      <w:r>
        <w:rPr>
          <w:color w:val="222A35" w:themeColor="text2" w:themeShade="80"/>
        </w:rPr>
        <w:t xml:space="preserve">(such as a short term certificate or diploma) </w:t>
      </w:r>
      <w:r w:rsidRPr="00F3756C">
        <w:rPr>
          <w:color w:val="222A35" w:themeColor="text2" w:themeShade="80"/>
        </w:rPr>
        <w:t>should also be included in the sub</w:t>
      </w:r>
      <w:r>
        <w:rPr>
          <w:color w:val="222A35" w:themeColor="text2" w:themeShade="80"/>
        </w:rPr>
        <w:t>set</w:t>
      </w:r>
      <w:r w:rsidRPr="00F3756C">
        <w:rPr>
          <w:color w:val="222A35" w:themeColor="text2" w:themeShade="80"/>
        </w:rPr>
        <w:t xml:space="preserve">.  </w:t>
      </w:r>
      <w:r>
        <w:rPr>
          <w:color w:val="222A35" w:themeColor="text2" w:themeShade="80"/>
        </w:rPr>
        <w:t>For this Credential Seeking Cohort, report</w:t>
      </w:r>
      <w:r w:rsidRPr="00F3756C">
        <w:rPr>
          <w:color w:val="222A35" w:themeColor="text2" w:themeShade="80"/>
        </w:rPr>
        <w:t xml:space="preserve"> </w:t>
      </w:r>
      <w:r>
        <w:rPr>
          <w:color w:val="222A35" w:themeColor="text2" w:themeShade="80"/>
        </w:rPr>
        <w:t>SPO Measures (</w:t>
      </w:r>
      <w:r w:rsidRPr="00E34B32">
        <w:rPr>
          <w:i/>
          <w:color w:val="222A35" w:themeColor="text2" w:themeShade="80"/>
        </w:rPr>
        <w:t>Developmental</w:t>
      </w:r>
      <w:r>
        <w:rPr>
          <w:i/>
          <w:color w:val="222A35" w:themeColor="text2" w:themeShade="80"/>
        </w:rPr>
        <w:t xml:space="preserve"> Education Progress</w:t>
      </w:r>
      <w:r>
        <w:rPr>
          <w:color w:val="222A35" w:themeColor="text2" w:themeShade="80"/>
        </w:rPr>
        <w:t xml:space="preserve">, </w:t>
      </w:r>
      <w:r w:rsidRPr="00E34B32">
        <w:rPr>
          <w:i/>
          <w:color w:val="222A35" w:themeColor="text2" w:themeShade="80"/>
        </w:rPr>
        <w:t>Two-Year Progre</w:t>
      </w:r>
      <w:r>
        <w:rPr>
          <w:i/>
          <w:color w:val="222A35" w:themeColor="text2" w:themeShade="80"/>
        </w:rPr>
        <w:t>s</w:t>
      </w:r>
      <w:r w:rsidRPr="00E34B32">
        <w:rPr>
          <w:i/>
          <w:color w:val="222A35" w:themeColor="text2" w:themeShade="80"/>
        </w:rPr>
        <w:t>s</w:t>
      </w:r>
      <w:r w:rsidRPr="00F3756C">
        <w:rPr>
          <w:i/>
          <w:color w:val="222A35" w:themeColor="text2" w:themeShade="80"/>
        </w:rPr>
        <w:t xml:space="preserve"> </w:t>
      </w:r>
      <w:r>
        <w:rPr>
          <w:color w:val="222A35" w:themeColor="text2" w:themeShade="80"/>
        </w:rPr>
        <w:t xml:space="preserve">and </w:t>
      </w:r>
      <w:r w:rsidRPr="00E34B32">
        <w:rPr>
          <w:i/>
          <w:color w:val="222A35" w:themeColor="text2" w:themeShade="80"/>
        </w:rPr>
        <w:t>Six-Year</w:t>
      </w:r>
      <w:r>
        <w:rPr>
          <w:color w:val="222A35" w:themeColor="text2" w:themeShade="80"/>
        </w:rPr>
        <w:t xml:space="preserve"> </w:t>
      </w:r>
      <w:r w:rsidRPr="00F3756C">
        <w:rPr>
          <w:i/>
          <w:color w:val="222A35" w:themeColor="text2" w:themeShade="80"/>
        </w:rPr>
        <w:t>Outcomes Measures</w:t>
      </w:r>
      <w:r>
        <w:rPr>
          <w:i/>
          <w:color w:val="222A35" w:themeColor="text2" w:themeShade="80"/>
        </w:rPr>
        <w:t xml:space="preserve">) </w:t>
      </w:r>
      <w:r w:rsidRPr="00E34B32">
        <w:rPr>
          <w:color w:val="222A35" w:themeColor="text2" w:themeShade="80"/>
        </w:rPr>
        <w:t xml:space="preserve">as you would for </w:t>
      </w:r>
      <w:r>
        <w:rPr>
          <w:color w:val="222A35" w:themeColor="text2" w:themeShade="80"/>
        </w:rPr>
        <w:t>the Main C</w:t>
      </w:r>
      <w:r w:rsidRPr="00F3756C">
        <w:rPr>
          <w:color w:val="222A35" w:themeColor="text2" w:themeShade="80"/>
        </w:rPr>
        <w:t xml:space="preserve">ohort. </w:t>
      </w:r>
    </w:p>
    <w:p w:rsidR="001104C8" w:rsidRPr="00980335" w:rsidRDefault="001104C8" w:rsidP="003D5CEB">
      <w:pPr>
        <w:spacing w:after="0"/>
        <w:rPr>
          <w:b/>
          <w:color w:val="222A35" w:themeColor="text2" w:themeShade="80"/>
        </w:rPr>
      </w:pPr>
      <w:r w:rsidRPr="00980335">
        <w:rPr>
          <w:b/>
          <w:smallCaps/>
          <w:color w:val="222A35" w:themeColor="text2" w:themeShade="80"/>
        </w:rPr>
        <w:t>Notes:</w:t>
      </w:r>
      <w:r w:rsidRPr="00980335">
        <w:rPr>
          <w:b/>
          <w:color w:val="222A35" w:themeColor="text2" w:themeShade="80"/>
        </w:rPr>
        <w:t xml:space="preserve">  </w:t>
      </w:r>
    </w:p>
    <w:p w:rsidR="001104C8" w:rsidRPr="00980335" w:rsidRDefault="001104C8" w:rsidP="001104C8">
      <w:pPr>
        <w:pStyle w:val="ListParagraph"/>
        <w:numPr>
          <w:ilvl w:val="0"/>
          <w:numId w:val="3"/>
        </w:numPr>
        <w:spacing w:after="120"/>
        <w:ind w:left="360" w:right="-270"/>
        <w:contextualSpacing w:val="0"/>
        <w:rPr>
          <w:color w:val="222A35" w:themeColor="text2" w:themeShade="80"/>
        </w:rPr>
      </w:pPr>
      <w:r w:rsidRPr="00980335">
        <w:rPr>
          <w:color w:val="222A35" w:themeColor="text2" w:themeShade="80"/>
        </w:rPr>
        <w:t xml:space="preserve">Everyone in the </w:t>
      </w:r>
      <w:r w:rsidRPr="000C1F62">
        <w:rPr>
          <w:i/>
          <w:color w:val="222A35" w:themeColor="text2" w:themeShade="80"/>
        </w:rPr>
        <w:t>Credential Seeking Cohort</w:t>
      </w:r>
      <w:r w:rsidRPr="00980335">
        <w:rPr>
          <w:color w:val="222A35" w:themeColor="text2" w:themeShade="80"/>
        </w:rPr>
        <w:t xml:space="preserve"> will be in the </w:t>
      </w:r>
      <w:r w:rsidRPr="000C1F62">
        <w:rPr>
          <w:i/>
          <w:color w:val="222A35" w:themeColor="text2" w:themeShade="80"/>
        </w:rPr>
        <w:t>Main Cohort</w:t>
      </w:r>
      <w:r w:rsidRPr="00980335">
        <w:rPr>
          <w:color w:val="222A35" w:themeColor="text2" w:themeShade="80"/>
        </w:rPr>
        <w:t xml:space="preserve">; it is a subset of the </w:t>
      </w:r>
      <w:r w:rsidRPr="000C1F62">
        <w:rPr>
          <w:i/>
          <w:color w:val="222A35" w:themeColor="text2" w:themeShade="80"/>
        </w:rPr>
        <w:t>Main Cohort</w:t>
      </w:r>
      <w:r w:rsidRPr="00980335">
        <w:rPr>
          <w:color w:val="222A35" w:themeColor="text2" w:themeShade="80"/>
        </w:rPr>
        <w:t>.</w:t>
      </w:r>
    </w:p>
    <w:p w:rsidR="001104C8" w:rsidRPr="0010276E" w:rsidRDefault="001104C8" w:rsidP="001104C8">
      <w:pPr>
        <w:pStyle w:val="ListParagraph"/>
        <w:numPr>
          <w:ilvl w:val="0"/>
          <w:numId w:val="3"/>
        </w:numPr>
        <w:ind w:left="360" w:right="-540"/>
        <w:rPr>
          <w:i/>
          <w:color w:val="222A35" w:themeColor="text2" w:themeShade="80"/>
        </w:rPr>
      </w:pPr>
      <w:r w:rsidRPr="00980335">
        <w:rPr>
          <w:color w:val="222A35" w:themeColor="text2" w:themeShade="80"/>
        </w:rPr>
        <w:t xml:space="preserve">The </w:t>
      </w:r>
      <w:r w:rsidRPr="000C1F62">
        <w:rPr>
          <w:i/>
          <w:color w:val="222A35" w:themeColor="text2" w:themeShade="80"/>
        </w:rPr>
        <w:t>Main Cohort</w:t>
      </w:r>
      <w:r w:rsidRPr="00980335">
        <w:rPr>
          <w:color w:val="222A35" w:themeColor="text2" w:themeShade="80"/>
        </w:rPr>
        <w:t xml:space="preserve"> can be determined based at the initial term of enrollment, while the </w:t>
      </w:r>
      <w:r w:rsidRPr="000C1F62">
        <w:rPr>
          <w:i/>
          <w:color w:val="222A35" w:themeColor="text2" w:themeShade="80"/>
        </w:rPr>
        <w:t>Credential Seeking Cohort</w:t>
      </w:r>
      <w:r w:rsidRPr="00980335">
        <w:rPr>
          <w:color w:val="222A35" w:themeColor="text2" w:themeShade="80"/>
        </w:rPr>
        <w:t xml:space="preserve"> cannot be determined until after two complete academic years from the initial enrollment date. The </w:t>
      </w:r>
      <w:r w:rsidRPr="000C1F62">
        <w:rPr>
          <w:i/>
          <w:color w:val="222A35" w:themeColor="text2" w:themeShade="80"/>
        </w:rPr>
        <w:t>Credential Seeking Cohort</w:t>
      </w:r>
      <w:r w:rsidRPr="00980335">
        <w:rPr>
          <w:color w:val="222A35" w:themeColor="text2" w:themeShade="80"/>
        </w:rPr>
        <w:t xml:space="preserve"> </w:t>
      </w:r>
      <w:r>
        <w:rPr>
          <w:color w:val="222A35" w:themeColor="text2" w:themeShade="80"/>
        </w:rPr>
        <w:t>must</w:t>
      </w:r>
      <w:r w:rsidRPr="00980335">
        <w:rPr>
          <w:color w:val="222A35" w:themeColor="text2" w:themeShade="80"/>
        </w:rPr>
        <w:t xml:space="preserve"> be determined after two complete academic years because the college must determine who earned 12 credits by the end of the second academic year for inclusion in the </w:t>
      </w:r>
      <w:r w:rsidRPr="000C1F62">
        <w:rPr>
          <w:i/>
          <w:color w:val="222A35" w:themeColor="text2" w:themeShade="80"/>
        </w:rPr>
        <w:t>Credential Seeking Cohort</w:t>
      </w:r>
      <w:r w:rsidRPr="00980335">
        <w:rPr>
          <w:color w:val="222A35" w:themeColor="text2" w:themeShade="80"/>
        </w:rPr>
        <w:t>;</w:t>
      </w:r>
      <w:r>
        <w:rPr>
          <w:i/>
          <w:color w:val="222A35" w:themeColor="text2" w:themeShade="80"/>
        </w:rPr>
        <w:t xml:space="preserve"> e.g. for a fall 2010 cohort, a college would look to see who earned 12 credits by the end of summer term 2012</w:t>
      </w:r>
      <w:r w:rsidRPr="0010276E">
        <w:rPr>
          <w:i/>
          <w:color w:val="222A35" w:themeColor="text2" w:themeShade="80"/>
        </w:rPr>
        <w:t xml:space="preserve">. </w:t>
      </w:r>
    </w:p>
    <w:tbl>
      <w:tblPr>
        <w:tblW w:w="9720" w:type="dxa"/>
        <w:tblInd w:w="-5" w:type="dxa"/>
        <w:tblLook w:val="0480" w:firstRow="0" w:lastRow="0" w:firstColumn="1" w:lastColumn="0" w:noHBand="0" w:noVBand="1"/>
      </w:tblPr>
      <w:tblGrid>
        <w:gridCol w:w="8820"/>
        <w:gridCol w:w="900"/>
      </w:tblGrid>
      <w:tr w:rsidR="001104C8" w:rsidRPr="00CA4BDE" w:rsidTr="001104C8">
        <w:trPr>
          <w:trHeight w:val="435"/>
        </w:trPr>
        <w:tc>
          <w:tcPr>
            <w:tcW w:w="9720" w:type="dxa"/>
            <w:gridSpan w:val="2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DEEAF6" w:themeFill="accent1" w:themeFillTint="33"/>
            <w:noWrap/>
          </w:tcPr>
          <w:p w:rsidR="001104C8" w:rsidRPr="001104C8" w:rsidRDefault="001104C8" w:rsidP="001104C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104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Credits used to calculate Credential Seeking Cohort</w:t>
            </w:r>
          </w:p>
          <w:p w:rsidR="001104C8" w:rsidRPr="00CA4BDE" w:rsidRDefault="001104C8" w:rsidP="001104C8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104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(12 earned credits)</w:t>
            </w:r>
          </w:p>
        </w:tc>
      </w:tr>
      <w:tr w:rsidR="001104C8" w:rsidRPr="00CA4BDE" w:rsidTr="001104C8">
        <w:trPr>
          <w:trHeight w:val="300"/>
        </w:trPr>
        <w:tc>
          <w:tcPr>
            <w:tcW w:w="8820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</w:tcPr>
          <w:p w:rsidR="001104C8" w:rsidRPr="00CA4BDE" w:rsidRDefault="001104C8" w:rsidP="001104C8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credits e</w:t>
            </w:r>
            <w:r w:rsidRPr="00CA4BDE">
              <w:rPr>
                <w:rFonts w:ascii="Calibri" w:eastAsia="Times New Roman" w:hAnsi="Calibri" w:cs="Times New Roman"/>
                <w:color w:val="000000"/>
              </w:rPr>
              <w:t>arned since initial enrollment</w:t>
            </w:r>
          </w:p>
        </w:tc>
        <w:tc>
          <w:tcPr>
            <w:tcW w:w="90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4BD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1104C8" w:rsidRPr="00CA4BDE" w:rsidTr="001104C8">
        <w:trPr>
          <w:trHeight w:val="300"/>
        </w:trPr>
        <w:tc>
          <w:tcPr>
            <w:tcW w:w="8820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</w:tcPr>
          <w:p w:rsidR="001104C8" w:rsidRPr="00CA4BDE" w:rsidRDefault="001104C8" w:rsidP="001104C8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Developmental e</w:t>
            </w:r>
            <w:r w:rsidRPr="00CA4BDE">
              <w:rPr>
                <w:rFonts w:ascii="Calibri" w:eastAsia="Times New Roman" w:hAnsi="Calibri" w:cs="Times New Roman"/>
                <w:color w:val="000000"/>
              </w:rPr>
              <w:t xml:space="preserve">ducation credits (converted to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semester </w:t>
            </w:r>
            <w:r w:rsidRPr="00CA4BDE">
              <w:rPr>
                <w:rFonts w:ascii="Calibri" w:eastAsia="Times New Roman" w:hAnsi="Calibri" w:cs="Times New Roman"/>
                <w:color w:val="000000"/>
              </w:rPr>
              <w:t>credit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CA4BDE">
              <w:rPr>
                <w:rFonts w:ascii="Calibri" w:eastAsia="Times New Roman" w:hAnsi="Calibri" w:cs="Times New Roman"/>
                <w:color w:val="000000"/>
              </w:rPr>
              <w:t>equivalent credits if necessary)</w:t>
            </w:r>
          </w:p>
        </w:tc>
        <w:tc>
          <w:tcPr>
            <w:tcW w:w="90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4BDE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1104C8" w:rsidRPr="00CA4BDE" w:rsidTr="001104C8">
        <w:trPr>
          <w:trHeight w:val="300"/>
        </w:trPr>
        <w:tc>
          <w:tcPr>
            <w:tcW w:w="8820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</w:tcPr>
          <w:p w:rsidR="001104C8" w:rsidRDefault="001104C8" w:rsidP="001104C8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Credits earned in summer bridge/early start programs (summer 2010/summer 2014)</w:t>
            </w:r>
          </w:p>
        </w:tc>
        <w:tc>
          <w:tcPr>
            <w:tcW w:w="90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1104C8" w:rsidRPr="00CA4BDE" w:rsidTr="001104C8">
        <w:trPr>
          <w:trHeight w:val="300"/>
        </w:trPr>
        <w:tc>
          <w:tcPr>
            <w:tcW w:w="8820" w:type="dxa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noWrap/>
            <w:vAlign w:val="center"/>
          </w:tcPr>
          <w:p w:rsidR="001104C8" w:rsidRPr="00CA4BDE" w:rsidRDefault="008C1E3B" w:rsidP="008C1E3B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</w:t>
            </w:r>
            <w:r w:rsidR="001104C8" w:rsidRPr="008C1E3B">
              <w:rPr>
                <w:rFonts w:ascii="Calibri" w:eastAsia="Times New Roman" w:hAnsi="Calibri" w:cs="Times New Roman"/>
                <w:color w:val="000000"/>
              </w:rPr>
              <w:t>rior learning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credits</w:t>
            </w:r>
            <w:r w:rsidR="001104C8" w:rsidRPr="008C1E3B">
              <w:rPr>
                <w:rFonts w:ascii="Calibri" w:eastAsia="Times New Roman" w:hAnsi="Calibri" w:cs="Times New Roman"/>
                <w:color w:val="000000"/>
              </w:rPr>
              <w:t>/prior learning assessment (PLA)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C1E3B">
              <w:rPr>
                <w:rFonts w:ascii="Calibri" w:eastAsia="Times New Roman" w:hAnsi="Calibri" w:cs="Times New Roman"/>
                <w:color w:val="000000"/>
              </w:rPr>
              <w:t>awarded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within first two years</w:t>
            </w:r>
            <w:r w:rsidRPr="008C1E3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538135" w:themeColor="accent6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  <w:tr w:rsidR="001104C8" w:rsidRPr="00CA4BDE" w:rsidTr="001104C8">
        <w:trPr>
          <w:trHeight w:val="300"/>
        </w:trPr>
        <w:tc>
          <w:tcPr>
            <w:tcW w:w="8820" w:type="dxa"/>
            <w:tcBorders>
              <w:left w:val="single" w:sz="4" w:space="0" w:color="2E74B5" w:themeColor="accent1" w:themeShade="BF"/>
              <w:right w:val="single" w:sz="4" w:space="0" w:color="538135" w:themeColor="accent6" w:themeShade="BF"/>
            </w:tcBorders>
            <w:noWrap/>
            <w:vAlign w:val="center"/>
          </w:tcPr>
          <w:p w:rsidR="001104C8" w:rsidRDefault="001104C8" w:rsidP="001104C8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Credits earned for Advanced Placement (AP) courses</w:t>
            </w:r>
          </w:p>
        </w:tc>
        <w:tc>
          <w:tcPr>
            <w:tcW w:w="90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2E74B5" w:themeColor="accent1" w:themeShade="BF"/>
            </w:tcBorders>
            <w:shd w:val="clear" w:color="auto" w:fill="F7CAAC" w:themeFill="accent2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1104C8" w:rsidRPr="00CA4BDE" w:rsidTr="001104C8">
        <w:trPr>
          <w:trHeight w:val="300"/>
        </w:trPr>
        <w:tc>
          <w:tcPr>
            <w:tcW w:w="8820" w:type="dxa"/>
            <w:tcBorders>
              <w:left w:val="single" w:sz="4" w:space="0" w:color="2E74B5" w:themeColor="accent1" w:themeShade="BF"/>
              <w:right w:val="single" w:sz="4" w:space="0" w:color="538135" w:themeColor="accent6" w:themeShade="BF"/>
            </w:tcBorders>
            <w:noWrap/>
            <w:vAlign w:val="center"/>
          </w:tcPr>
          <w:p w:rsidR="001104C8" w:rsidRPr="00A26A91" w:rsidRDefault="001104C8" w:rsidP="001104C8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 w:rsidRPr="003916CD">
              <w:rPr>
                <w:rFonts w:ascii="Calibri" w:eastAsia="Times New Roman" w:hAnsi="Calibri" w:cs="Times New Roman"/>
                <w:color w:val="000000"/>
              </w:rPr>
              <w:t>College credits earned before graduating from high school</w:t>
            </w:r>
          </w:p>
        </w:tc>
        <w:tc>
          <w:tcPr>
            <w:tcW w:w="90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2E74B5" w:themeColor="accent1" w:themeShade="BF"/>
            </w:tcBorders>
            <w:shd w:val="clear" w:color="auto" w:fill="F7CAAC" w:themeFill="accent2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1104C8" w:rsidRPr="00CA4BDE" w:rsidTr="001104C8">
        <w:trPr>
          <w:trHeight w:val="300"/>
        </w:trPr>
        <w:tc>
          <w:tcPr>
            <w:tcW w:w="8820" w:type="dxa"/>
            <w:tcBorders>
              <w:left w:val="single" w:sz="4" w:space="0" w:color="2E74B5" w:themeColor="accent1" w:themeShade="BF"/>
              <w:right w:val="single" w:sz="4" w:space="0" w:color="538135" w:themeColor="accent6" w:themeShade="BF"/>
            </w:tcBorders>
            <w:noWrap/>
            <w:vAlign w:val="center"/>
          </w:tcPr>
          <w:p w:rsidR="001104C8" w:rsidRPr="00A26A91" w:rsidRDefault="001104C8" w:rsidP="001104C8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 w:rsidRPr="003916CD">
              <w:rPr>
                <w:rFonts w:ascii="Calibri" w:eastAsia="Times New Roman" w:hAnsi="Calibri" w:cs="Times New Roman"/>
                <w:color w:val="000000"/>
              </w:rPr>
              <w:t>College credits ea</w:t>
            </w:r>
            <w:bookmarkStart w:id="1" w:name="_GoBack"/>
            <w:bookmarkEnd w:id="1"/>
            <w:r w:rsidRPr="003916CD">
              <w:rPr>
                <w:rFonts w:ascii="Calibri" w:eastAsia="Times New Roman" w:hAnsi="Calibri" w:cs="Times New Roman"/>
                <w:color w:val="000000"/>
              </w:rPr>
              <w:t xml:space="preserve">rned at another institution </w:t>
            </w:r>
          </w:p>
        </w:tc>
        <w:tc>
          <w:tcPr>
            <w:tcW w:w="90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2E74B5" w:themeColor="accent1" w:themeShade="BF"/>
            </w:tcBorders>
            <w:shd w:val="clear" w:color="auto" w:fill="F7CAAC" w:themeFill="accent2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1104C8" w:rsidRPr="00CA4BDE" w:rsidTr="001104C8">
        <w:trPr>
          <w:trHeight w:val="300"/>
        </w:trPr>
        <w:tc>
          <w:tcPr>
            <w:tcW w:w="8820" w:type="dxa"/>
            <w:tcBorders>
              <w:left w:val="single" w:sz="4" w:space="0" w:color="2E74B5" w:themeColor="accent1" w:themeShade="BF"/>
              <w:bottom w:val="single" w:sz="8" w:space="0" w:color="5B9BD5" w:themeColor="accent1"/>
              <w:right w:val="single" w:sz="4" w:space="0" w:color="538135" w:themeColor="accent6" w:themeShade="BF"/>
            </w:tcBorders>
            <w:noWrap/>
            <w:vAlign w:val="center"/>
          </w:tcPr>
          <w:p w:rsidR="001104C8" w:rsidRPr="00CA4BDE" w:rsidRDefault="001104C8" w:rsidP="001104C8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 w:rsidRPr="00CA4BDE">
              <w:rPr>
                <w:rFonts w:ascii="Calibri" w:eastAsia="Times New Roman" w:hAnsi="Calibri" w:cs="Times New Roman"/>
                <w:color w:val="000000"/>
              </w:rPr>
              <w:t>ESL course credits or equivalent</w:t>
            </w:r>
          </w:p>
        </w:tc>
        <w:tc>
          <w:tcPr>
            <w:tcW w:w="90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2E74B5" w:themeColor="accent1" w:themeShade="BF"/>
            </w:tcBorders>
            <w:shd w:val="clear" w:color="auto" w:fill="F7CAAC" w:themeFill="accent2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4BDE"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</w:tr>
      <w:tr w:rsidR="001104C8" w:rsidRPr="00CA4BDE" w:rsidTr="001104C8">
        <w:trPr>
          <w:trHeight w:val="295"/>
        </w:trPr>
        <w:tc>
          <w:tcPr>
            <w:tcW w:w="8820" w:type="dxa"/>
            <w:tcBorders>
              <w:left w:val="single" w:sz="4" w:space="0" w:color="2E74B5" w:themeColor="accent1" w:themeShade="BF"/>
              <w:bottom w:val="single" w:sz="8" w:space="0" w:color="5B9BD5" w:themeColor="accent1"/>
            </w:tcBorders>
            <w:noWrap/>
            <w:vAlign w:val="center"/>
          </w:tcPr>
          <w:p w:rsidR="001104C8" w:rsidRDefault="001104C8" w:rsidP="001104C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---------------</w:t>
            </w:r>
          </w:p>
        </w:tc>
        <w:tc>
          <w:tcPr>
            <w:tcW w:w="900" w:type="dxa"/>
            <w:tcBorders>
              <w:top w:val="single" w:sz="4" w:space="0" w:color="538135" w:themeColor="accent6" w:themeShade="BF"/>
              <w:left w:val="nil"/>
              <w:right w:val="single" w:sz="4" w:space="0" w:color="2E74B5" w:themeColor="accent1" w:themeShade="BF"/>
            </w:tcBorders>
            <w:shd w:val="clear" w:color="auto" w:fill="FFFFFF" w:themeFill="background1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4C8" w:rsidRPr="00CA4BDE" w:rsidTr="001104C8">
        <w:trPr>
          <w:trHeight w:val="315"/>
        </w:trPr>
        <w:tc>
          <w:tcPr>
            <w:tcW w:w="8820" w:type="dxa"/>
            <w:tcBorders>
              <w:top w:val="single" w:sz="8" w:space="0" w:color="5B9BD5" w:themeColor="accent1"/>
              <w:left w:val="single" w:sz="4" w:space="0" w:color="2E74B5" w:themeColor="accent1" w:themeShade="BF"/>
              <w:bottom w:val="single" w:sz="4" w:space="0" w:color="2E74B5" w:themeColor="accent1" w:themeShade="BF"/>
            </w:tcBorders>
            <w:noWrap/>
            <w:vAlign w:val="center"/>
          </w:tcPr>
          <w:p w:rsidR="001104C8" w:rsidRPr="00CA4BDE" w:rsidRDefault="001104C8" w:rsidP="001104C8">
            <w:pPr>
              <w:spacing w:before="60" w:after="0"/>
              <w:rPr>
                <w:rFonts w:ascii="Calibri" w:eastAsia="Times New Roman" w:hAnsi="Calibri" w:cs="Times New Roman"/>
                <w:color w:val="000000"/>
              </w:rPr>
            </w:pPr>
            <w:r w:rsidRPr="00CA4BDE">
              <w:rPr>
                <w:rFonts w:ascii="Calibri" w:eastAsia="Times New Roman" w:hAnsi="Calibri" w:cs="Times New Roman"/>
                <w:color w:val="000000"/>
              </w:rPr>
              <w:t>OR completion of Formal Award less than 12 credit hours</w:t>
            </w:r>
          </w:p>
        </w:tc>
        <w:tc>
          <w:tcPr>
            <w:tcW w:w="900" w:type="dxa"/>
            <w:tcBorders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BDD6EE" w:themeFill="accent1" w:themeFillTint="66"/>
            <w:noWrap/>
            <w:vAlign w:val="center"/>
          </w:tcPr>
          <w:p w:rsidR="001104C8" w:rsidRPr="00CA4BDE" w:rsidRDefault="001104C8" w:rsidP="001104C8">
            <w:pPr>
              <w:spacing w:before="60"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9355"/>
      </w:tblGrid>
      <w:tr w:rsidR="001104C8" w:rsidTr="003916CD">
        <w:trPr>
          <w:cantSplit/>
        </w:trPr>
        <w:tc>
          <w:tcPr>
            <w:tcW w:w="5000" w:type="pct"/>
            <w:tcBorders>
              <w:top w:val="single" w:sz="4" w:space="0" w:color="44546A" w:themeColor="text2"/>
              <w:left w:val="nil"/>
              <w:bottom w:val="single" w:sz="4" w:space="0" w:color="auto"/>
              <w:right w:val="single" w:sz="4" w:space="0" w:color="44546A" w:themeColor="text2"/>
            </w:tcBorders>
            <w:shd w:val="clear" w:color="auto" w:fill="0079C1"/>
          </w:tcPr>
          <w:p w:rsidR="001104C8" w:rsidRPr="006F1B1E" w:rsidRDefault="001104C8" w:rsidP="003916CD">
            <w:pPr>
              <w:spacing w:before="200" w:after="40"/>
              <w:jc w:val="center"/>
              <w:rPr>
                <w:rFonts w:asciiTheme="majorHAnsi" w:hAnsiTheme="majorHAnsi"/>
                <w:color w:val="D9D9D9" w:themeColor="background1" w:themeShade="D9"/>
                <w:sz w:val="28"/>
                <w:szCs w:val="28"/>
                <w:u w:val="single"/>
              </w:rPr>
            </w:pPr>
            <w:r w:rsidRPr="006F1B1E">
              <w:rPr>
                <w:rFonts w:asciiTheme="majorHAnsi" w:hAnsiTheme="majorHAnsi"/>
                <w:color w:val="D9D9D9" w:themeColor="background1" w:themeShade="D9"/>
                <w:sz w:val="28"/>
                <w:szCs w:val="28"/>
                <w:u w:val="single"/>
              </w:rPr>
              <w:t>Cohort Types</w:t>
            </w:r>
          </w:p>
          <w:p w:rsidR="001104C8" w:rsidRDefault="001104C8" w:rsidP="003916CD">
            <w:pPr>
              <w:spacing w:before="40" w:after="80"/>
              <w:rPr>
                <w:rFonts w:asciiTheme="majorHAnsi" w:hAnsiTheme="majorHAnsi" w:cstheme="minorHAnsi"/>
                <w:b/>
                <w:color w:val="F2F2F2" w:themeColor="background1" w:themeShade="F2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2F2F2" w:themeColor="background1" w:themeShade="F2"/>
                <w:sz w:val="20"/>
                <w:szCs w:val="20"/>
              </w:rPr>
              <w:t>Students from the two year and six year reporting timeframes will be further categorized into three cohort types:</w:t>
            </w:r>
          </w:p>
          <w:p w:rsidR="001104C8" w:rsidRPr="004D0090" w:rsidRDefault="001104C8" w:rsidP="001104C8">
            <w:pPr>
              <w:pStyle w:val="ListParagraph"/>
              <w:numPr>
                <w:ilvl w:val="0"/>
                <w:numId w:val="2"/>
              </w:numPr>
              <w:spacing w:before="40" w:after="8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2F2F2" w:themeColor="background1" w:themeShade="F2"/>
                <w:sz w:val="20"/>
                <w:szCs w:val="20"/>
              </w:rPr>
              <w:t>Main Cohort</w:t>
            </w:r>
          </w:p>
          <w:p w:rsidR="001104C8" w:rsidRPr="004D0090" w:rsidRDefault="001104C8" w:rsidP="001104C8">
            <w:pPr>
              <w:pStyle w:val="ListParagraph"/>
              <w:numPr>
                <w:ilvl w:val="0"/>
                <w:numId w:val="2"/>
              </w:numPr>
              <w:spacing w:before="40" w:after="8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color w:val="F2F2F2" w:themeColor="background1" w:themeShade="F2"/>
                <w:sz w:val="20"/>
                <w:szCs w:val="20"/>
              </w:rPr>
              <w:t>Credential Seeking Cohort</w:t>
            </w:r>
          </w:p>
          <w:p w:rsidR="001104C8" w:rsidRPr="004D0090" w:rsidRDefault="001104C8" w:rsidP="001104C8">
            <w:pPr>
              <w:pStyle w:val="ListParagraph"/>
              <w:numPr>
                <w:ilvl w:val="0"/>
                <w:numId w:val="2"/>
              </w:numPr>
              <w:spacing w:before="40" w:after="80" w:line="240" w:lineRule="auto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 w:cstheme="minorHAnsi"/>
                <w:b/>
                <w:color w:val="F2F2F2" w:themeColor="background1" w:themeShade="F2"/>
                <w:sz w:val="20"/>
                <w:szCs w:val="20"/>
              </w:rPr>
              <w:t xml:space="preserve">First Time in College Cohort </w:t>
            </w:r>
          </w:p>
        </w:tc>
      </w:tr>
    </w:tbl>
    <w:tbl>
      <w:tblPr>
        <w:tblStyle w:val="MediumGrid2-Accent6"/>
        <w:tblW w:w="5000" w:type="pct"/>
        <w:tblLook w:val="04A0" w:firstRow="1" w:lastRow="0" w:firstColumn="1" w:lastColumn="0" w:noHBand="0" w:noVBand="1"/>
      </w:tblPr>
      <w:tblGrid>
        <w:gridCol w:w="2520"/>
        <w:gridCol w:w="4221"/>
        <w:gridCol w:w="2614"/>
      </w:tblGrid>
      <w:tr w:rsidR="001104C8" w:rsidTr="00110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47" w:type="pct"/>
            <w:tcBorders>
              <w:top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807F83"/>
          </w:tcPr>
          <w:p w:rsidR="001104C8" w:rsidRPr="00B12ADE" w:rsidRDefault="001104C8" w:rsidP="003916CD">
            <w:pPr>
              <w:spacing w:before="20" w:after="20"/>
              <w:rPr>
                <w:rFonts w:ascii="Arial" w:hAnsi="Arial" w:cs="Arial"/>
                <w:color w:val="FFFFFF" w:themeColor="background1"/>
              </w:rPr>
            </w:pPr>
            <w:r w:rsidRPr="00B12ADE">
              <w:rPr>
                <w:rFonts w:ascii="Arial" w:hAnsi="Arial" w:cs="Arial"/>
                <w:color w:val="FFFFFF" w:themeColor="background1"/>
              </w:rPr>
              <w:t>Measure / Calculation</w:t>
            </w:r>
          </w:p>
        </w:tc>
        <w:tc>
          <w:tcPr>
            <w:tcW w:w="2256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807F83"/>
          </w:tcPr>
          <w:p w:rsidR="001104C8" w:rsidRPr="00B12ADE" w:rsidRDefault="001104C8" w:rsidP="003916CD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B12ADE">
              <w:rPr>
                <w:rFonts w:ascii="Arial" w:hAnsi="Arial" w:cs="Arial"/>
                <w:color w:val="FFFFFF" w:themeColor="background1"/>
              </w:rPr>
              <w:t>Definition</w:t>
            </w:r>
          </w:p>
        </w:tc>
        <w:tc>
          <w:tcPr>
            <w:tcW w:w="1397" w:type="pct"/>
            <w:tcBorders>
              <w:top w:val="single" w:sz="4" w:space="0" w:color="44546A" w:themeColor="text2"/>
              <w:left w:val="single" w:sz="4" w:space="0" w:color="44546A" w:themeColor="text2"/>
              <w:bottom w:val="single" w:sz="4" w:space="0" w:color="44546A" w:themeColor="text2"/>
              <w:right w:val="single" w:sz="4" w:space="0" w:color="44546A" w:themeColor="text2"/>
            </w:tcBorders>
            <w:shd w:val="clear" w:color="auto" w:fill="807F83"/>
          </w:tcPr>
          <w:p w:rsidR="001104C8" w:rsidRPr="00B12ADE" w:rsidRDefault="001104C8" w:rsidP="003916CD">
            <w:pPr>
              <w:spacing w:before="20" w:after="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B12ADE">
              <w:rPr>
                <w:rFonts w:ascii="Arial" w:hAnsi="Arial" w:cs="Arial"/>
                <w:color w:val="FFFFFF" w:themeColor="background1"/>
              </w:rPr>
              <w:t>Important Notes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460"/>
        <w:gridCol w:w="4281"/>
        <w:gridCol w:w="2614"/>
      </w:tblGrid>
      <w:tr w:rsidR="001104C8" w:rsidTr="003916CD">
        <w:trPr>
          <w:cantSplit/>
          <w:trHeight w:val="4310"/>
        </w:trPr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1104C8" w:rsidRDefault="001104C8" w:rsidP="003916CD">
            <w:pPr>
              <w:pStyle w:val="ListParagraph"/>
              <w:ind w:left="0"/>
              <w:rPr>
                <w:rFonts w:eastAsiaTheme="minorHAnsi"/>
                <w:b/>
              </w:rPr>
            </w:pPr>
            <w:r w:rsidRPr="00CA7CAB">
              <w:rPr>
                <w:rFonts w:eastAsiaTheme="minorHAnsi"/>
                <w:b/>
              </w:rPr>
              <w:t xml:space="preserve">Credential Seeking Cohort </w:t>
            </w:r>
          </w:p>
          <w:p w:rsidR="001104C8" w:rsidRDefault="001104C8" w:rsidP="003916CD">
            <w:pPr>
              <w:pStyle w:val="ListParagraph"/>
              <w:ind w:left="0"/>
              <w:rPr>
                <w:rFonts w:eastAsiaTheme="minorHAnsi"/>
                <w:b/>
              </w:rPr>
            </w:pPr>
          </w:p>
          <w:p w:rsidR="001104C8" w:rsidRPr="00482DFC" w:rsidRDefault="001104C8" w:rsidP="003916CD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482DFC">
              <w:rPr>
                <w:i/>
                <w:sz w:val="20"/>
                <w:szCs w:val="20"/>
              </w:rPr>
              <w:t xml:space="preserve">Other names: </w:t>
            </w:r>
          </w:p>
          <w:p w:rsidR="001104C8" w:rsidRPr="00CA7CAB" w:rsidRDefault="001104C8" w:rsidP="003916CD">
            <w:pPr>
              <w:pStyle w:val="ListParagraph"/>
              <w:ind w:left="0"/>
              <w:jc w:val="right"/>
              <w:rPr>
                <w:rFonts w:eastAsiaTheme="minorHAnsi"/>
                <w:b/>
              </w:rPr>
            </w:pPr>
            <w:r>
              <w:rPr>
                <w:sz w:val="20"/>
                <w:szCs w:val="20"/>
              </w:rPr>
              <w:t>Credential Seeking</w:t>
            </w:r>
          </w:p>
        </w:tc>
        <w:tc>
          <w:tcPr>
            <w:tcW w:w="2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1104C8" w:rsidRDefault="001104C8" w:rsidP="001104C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</w:t>
            </w:r>
            <w:r w:rsidRPr="006C276F">
              <w:rPr>
                <w:rFonts w:cs="Times New Roman"/>
                <w:sz w:val="20"/>
                <w:szCs w:val="20"/>
              </w:rPr>
              <w:t xml:space="preserve">tudents in the </w:t>
            </w:r>
            <w:r>
              <w:rPr>
                <w:rFonts w:cs="Times New Roman"/>
                <w:sz w:val="20"/>
                <w:szCs w:val="20"/>
              </w:rPr>
              <w:t>Main C</w:t>
            </w:r>
            <w:r w:rsidRPr="006C276F">
              <w:rPr>
                <w:rFonts w:cs="Times New Roman"/>
                <w:sz w:val="20"/>
                <w:szCs w:val="20"/>
              </w:rPr>
              <w:t xml:space="preserve">ohort </w:t>
            </w:r>
            <w:r>
              <w:rPr>
                <w:rFonts w:cs="Times New Roman"/>
                <w:sz w:val="20"/>
                <w:szCs w:val="20"/>
              </w:rPr>
              <w:t xml:space="preserve">(defined above) who, </w:t>
            </w:r>
            <w:r w:rsidRPr="001104C8">
              <w:rPr>
                <w:rFonts w:cs="Times New Roman"/>
                <w:sz w:val="20"/>
                <w:szCs w:val="20"/>
              </w:rPr>
              <w:t>based on their course-taking behavior, indicate that they are credential-seeking</w:t>
            </w:r>
          </w:p>
          <w:p w:rsidR="001104C8" w:rsidRDefault="001104C8" w:rsidP="001104C8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Credential Seeking cohort include students who:</w:t>
            </w:r>
          </w:p>
          <w:p w:rsidR="001104C8" w:rsidRDefault="001104C8" w:rsidP="002715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Times New Roman"/>
                <w:sz w:val="20"/>
                <w:szCs w:val="20"/>
              </w:rPr>
            </w:pPr>
            <w:r w:rsidRPr="001104C8">
              <w:rPr>
                <w:rFonts w:cs="Times New Roman"/>
                <w:sz w:val="20"/>
                <w:szCs w:val="20"/>
              </w:rPr>
              <w:t xml:space="preserve">Earned </w:t>
            </w:r>
            <w:r w:rsidRPr="001104C8">
              <w:rPr>
                <w:rFonts w:cs="Times New Roman"/>
                <w:b/>
                <w:sz w:val="20"/>
                <w:szCs w:val="20"/>
              </w:rPr>
              <w:t>12 semester credit hours</w:t>
            </w:r>
            <w:r w:rsidRPr="001104C8">
              <w:rPr>
                <w:rFonts w:cs="Times New Roman"/>
                <w:sz w:val="20"/>
                <w:szCs w:val="20"/>
              </w:rPr>
              <w:t xml:space="preserve"> (or the equivalent) by the end of the second academic-year of the tracking period</w:t>
            </w:r>
          </w:p>
          <w:p w:rsidR="001104C8" w:rsidRPr="001104C8" w:rsidRDefault="001104C8" w:rsidP="002715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Earned</w:t>
            </w:r>
            <w:r w:rsidRPr="001104C8">
              <w:rPr>
                <w:rFonts w:cs="Times New Roman"/>
                <w:sz w:val="20"/>
                <w:szCs w:val="20"/>
              </w:rPr>
              <w:t xml:space="preserve"> a certificate or other formal award (such as a short-term certificate or diploma)</w:t>
            </w:r>
            <w:r>
              <w:rPr>
                <w:rFonts w:cs="Times New Roman"/>
                <w:sz w:val="20"/>
                <w:szCs w:val="20"/>
              </w:rPr>
              <w:t xml:space="preserve"> by the end of the second academic-year of the tracking period </w:t>
            </w:r>
          </w:p>
          <w:p w:rsidR="001104C8" w:rsidRPr="007D0E40" w:rsidRDefault="001104C8" w:rsidP="003916C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1104C8" w:rsidRPr="006C276F" w:rsidRDefault="001104C8" w:rsidP="003916CD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C276F">
              <w:rPr>
                <w:rFonts w:cs="Times New Roman"/>
                <w:b/>
                <w:sz w:val="20"/>
                <w:szCs w:val="20"/>
              </w:rPr>
              <w:t xml:space="preserve">This is a subset of the Main Cohort. </w:t>
            </w:r>
          </w:p>
          <w:p w:rsidR="001104C8" w:rsidRDefault="001104C8" w:rsidP="003916CD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Credit hours are </w:t>
            </w:r>
            <w:r w:rsidRPr="006C276F">
              <w:rPr>
                <w:rFonts w:cs="Times New Roman"/>
                <w:sz w:val="20"/>
                <w:szCs w:val="20"/>
              </w:rPr>
              <w:t xml:space="preserve">cumulative </w:t>
            </w:r>
            <w:r>
              <w:rPr>
                <w:rFonts w:cs="Times New Roman"/>
                <w:sz w:val="20"/>
                <w:szCs w:val="20"/>
              </w:rPr>
              <w:t>of only credits earned at the reporting institution within the cohort tracking period</w:t>
            </w:r>
            <w:r w:rsidRPr="007D0E40">
              <w:rPr>
                <w:rFonts w:cs="Times New Roman"/>
                <w:sz w:val="20"/>
                <w:szCs w:val="20"/>
              </w:rPr>
              <w:t>.</w:t>
            </w:r>
          </w:p>
          <w:p w:rsidR="001104C8" w:rsidRDefault="001104C8" w:rsidP="003916CD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This definition is </w:t>
            </w:r>
            <w:r w:rsidRPr="001A2DEB">
              <w:rPr>
                <w:rFonts w:cs="Times New Roman"/>
                <w:sz w:val="20"/>
                <w:szCs w:val="20"/>
                <w:u w:val="single"/>
              </w:rPr>
              <w:t xml:space="preserve">different </w:t>
            </w:r>
            <w:r>
              <w:rPr>
                <w:rFonts w:cs="Times New Roman"/>
                <w:sz w:val="20"/>
                <w:szCs w:val="20"/>
              </w:rPr>
              <w:t>than that used in IPEDS to identify degree-certificate seeking students. All students who meet the 12 credit threshold are included regardless if they are seeking a degree, certificate, or have no-stated credential goal.</w:t>
            </w:r>
          </w:p>
          <w:p w:rsidR="001104C8" w:rsidRPr="00BF3484" w:rsidRDefault="001104C8" w:rsidP="003916CD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For colleges on a trimester system, please convert the student’s quarter credits earned to semester credit equivalents.</w:t>
            </w:r>
          </w:p>
        </w:tc>
      </w:tr>
    </w:tbl>
    <w:p w:rsidR="00F37B38" w:rsidRDefault="00F37B38"/>
    <w:p w:rsidR="001104C8" w:rsidRDefault="001104C8">
      <w:pPr>
        <w:spacing w:after="160" w:line="259" w:lineRule="auto"/>
      </w:pPr>
      <w:r>
        <w:br w:type="page"/>
      </w:r>
    </w:p>
    <w:p w:rsidR="001104C8" w:rsidRDefault="001104C8" w:rsidP="003D5CEB">
      <w:pPr>
        <w:pStyle w:val="Heading1"/>
        <w:spacing w:before="0"/>
      </w:pPr>
      <w:bookmarkStart w:id="2" w:name="_Toc433795805"/>
      <w:r>
        <w:lastRenderedPageBreak/>
        <w:t>Appendix C: Credits Earned vs. Successfully Completed</w:t>
      </w:r>
      <w:bookmarkEnd w:id="2"/>
    </w:p>
    <w:p w:rsidR="001104C8" w:rsidRDefault="001104C8" w:rsidP="001104C8">
      <w:r w:rsidRPr="003F4835">
        <w:t xml:space="preserve">The </w:t>
      </w:r>
      <w:r>
        <w:t xml:space="preserve">VFA </w:t>
      </w:r>
      <w:r w:rsidR="00DA19E1">
        <w:t xml:space="preserve">uses credits in </w:t>
      </w:r>
      <w:r>
        <w:t>different ways to calculate</w:t>
      </w:r>
      <w:r w:rsidR="00745454">
        <w:t xml:space="preserve"> the</w:t>
      </w:r>
      <w:r w:rsidR="00DA19E1">
        <w:t xml:space="preserve"> metrics</w:t>
      </w:r>
      <w:r>
        <w:t xml:space="preserve">. Please see below for the definitions as well as the metrics that use them. </w:t>
      </w:r>
    </w:p>
    <w:p w:rsidR="001104C8" w:rsidRDefault="001104C8" w:rsidP="001104C8">
      <w:pPr>
        <w:rPr>
          <w:i/>
          <w:iCs/>
        </w:rPr>
      </w:pPr>
      <w:r>
        <w:rPr>
          <w:rFonts w:asciiTheme="majorHAnsi" w:hAnsiTheme="majorHAnsi"/>
          <w:b/>
          <w:bCs/>
          <w:i/>
          <w:color w:val="5B9BD5" w:themeColor="accent1"/>
          <w:sz w:val="26"/>
          <w:szCs w:val="26"/>
        </w:rPr>
        <w:t xml:space="preserve">Credential Seeking Cohort - </w:t>
      </w:r>
      <w:r w:rsidRPr="00DC7E26">
        <w:rPr>
          <w:i/>
          <w:iCs/>
        </w:rPr>
        <w:t xml:space="preserve">based on institutional credit </w:t>
      </w:r>
      <w:r w:rsidRPr="00113EA3">
        <w:rPr>
          <w:i/>
          <w:iCs/>
        </w:rPr>
        <w:t xml:space="preserve">awarding </w:t>
      </w:r>
      <w:r w:rsidRPr="00DC7E26">
        <w:rPr>
          <w:i/>
          <w:iCs/>
        </w:rPr>
        <w:t>practices</w:t>
      </w:r>
    </w:p>
    <w:p w:rsidR="001104C8" w:rsidRPr="00222467" w:rsidRDefault="001104C8" w:rsidP="001104C8">
      <w:r w:rsidRPr="00113EA3">
        <w:t xml:space="preserve">Credits accumulated are </w:t>
      </w:r>
      <w:r>
        <w:t>inclusive of college-level and developmental education coursework</w:t>
      </w:r>
      <w:r w:rsidRPr="00444D07">
        <w:t xml:space="preserve"> </w:t>
      </w:r>
      <w:r>
        <w:t>(</w:t>
      </w:r>
      <w:r w:rsidRPr="00DC7E26">
        <w:t>converted to credit equivalents</w:t>
      </w:r>
      <w:r>
        <w:t xml:space="preserve">, if applicable) </w:t>
      </w:r>
      <w:r>
        <w:rPr>
          <w:u w:val="single"/>
        </w:rPr>
        <w:t xml:space="preserve">completed at your college </w:t>
      </w:r>
      <w:r w:rsidRPr="00444D07">
        <w:rPr>
          <w:u w:val="single"/>
        </w:rPr>
        <w:t>by the end of their second year</w:t>
      </w:r>
      <w:r w:rsidRPr="003916CD">
        <w:t xml:space="preserve"> [including the summer term]</w:t>
      </w:r>
      <w:r>
        <w:t xml:space="preserve">. Credits should be </w:t>
      </w:r>
      <w:r w:rsidRPr="00222467">
        <w:t>counted</w:t>
      </w:r>
      <w:r w:rsidRPr="00444D07">
        <w:t xml:space="preserve"> according to institutional practice, regardless of the grade awarded</w:t>
      </w:r>
      <w:r>
        <w:t xml:space="preserve">. Credits </w:t>
      </w:r>
      <w:r w:rsidRPr="00222467">
        <w:t xml:space="preserve">transferred in and credits earned prior to high school completion (e.g. dual enrollment) and transfer credits </w:t>
      </w:r>
      <w:r w:rsidRPr="00222467">
        <w:rPr>
          <w:u w:val="single"/>
        </w:rPr>
        <w:t>should not</w:t>
      </w:r>
      <w:r w:rsidRPr="00222467">
        <w:t xml:space="preserve"> be included.</w:t>
      </w:r>
    </w:p>
    <w:p w:rsidR="001104C8" w:rsidRDefault="001104C8" w:rsidP="001104C8">
      <w:pPr>
        <w:rPr>
          <w:color w:val="1F497D"/>
        </w:rPr>
      </w:pPr>
      <w:r w:rsidRPr="00DC7E26">
        <w:rPr>
          <w:rFonts w:asciiTheme="majorHAnsi" w:hAnsiTheme="majorHAnsi"/>
          <w:b/>
          <w:bCs/>
          <w:i/>
          <w:color w:val="5B9BD5" w:themeColor="accent1"/>
          <w:sz w:val="26"/>
          <w:szCs w:val="26"/>
        </w:rPr>
        <w:t>Credits Earned</w:t>
      </w:r>
      <w:r w:rsidRPr="00DC7E26">
        <w:rPr>
          <w:color w:val="5B9BD5" w:themeColor="accent1"/>
        </w:rPr>
        <w:t xml:space="preserve"> </w:t>
      </w:r>
      <w:r w:rsidRPr="00113EA3">
        <w:t xml:space="preserve">– </w:t>
      </w:r>
      <w:r w:rsidRPr="00113EA3">
        <w:rPr>
          <w:i/>
          <w:iCs/>
        </w:rPr>
        <w:t>based on institutional credit awarding practices</w:t>
      </w:r>
      <w:r w:rsidRPr="00113EA3">
        <w:t xml:space="preserve"> </w:t>
      </w:r>
    </w:p>
    <w:p w:rsidR="001104C8" w:rsidRDefault="001104C8" w:rsidP="001104C8">
      <w:r w:rsidRPr="00113EA3">
        <w:t xml:space="preserve">Credits accumulated are inclusive of any credits of which the institution is aware </w:t>
      </w:r>
      <w:r w:rsidRPr="00DC7E26">
        <w:t xml:space="preserve">(or developmental education courses for which you don’t award credit but are converted to credit equivalents) </w:t>
      </w:r>
      <w:r w:rsidRPr="00113EA3">
        <w:t xml:space="preserve">and are counted according to institutional practice, regardless of the grade awarded. Credits earned are inclusive of earned credits prior to high school completion (e.g. dual enrollment) and transfer credits. </w:t>
      </w:r>
    </w:p>
    <w:p w:rsidR="001104C8" w:rsidRPr="00DC7E26" w:rsidRDefault="001104C8" w:rsidP="001104C8">
      <w:pPr>
        <w:pStyle w:val="ListParagraph"/>
      </w:pPr>
      <w:r w:rsidRPr="00DC7E26">
        <w:t>Used to determine:</w:t>
      </w:r>
    </w:p>
    <w:p w:rsidR="001104C8" w:rsidRDefault="001104C8" w:rsidP="001104C8">
      <w:pPr>
        <w:pStyle w:val="ListParagraph"/>
        <w:numPr>
          <w:ilvl w:val="1"/>
          <w:numId w:val="5"/>
        </w:numPr>
      </w:pPr>
      <w:r w:rsidRPr="00DC7E26">
        <w:t>Two-Year Progress: Reached Credit Threshold</w:t>
      </w:r>
    </w:p>
    <w:p w:rsidR="001104C8" w:rsidRPr="00DC7E26" w:rsidRDefault="001104C8" w:rsidP="001104C8">
      <w:pPr>
        <w:ind w:left="360"/>
        <w:rPr>
          <w:i/>
          <w:iCs/>
        </w:rPr>
      </w:pPr>
      <w:r w:rsidRPr="00DC7E26">
        <w:rPr>
          <w:rFonts w:asciiTheme="majorHAnsi" w:hAnsiTheme="majorHAnsi"/>
          <w:b/>
          <w:bCs/>
          <w:i/>
          <w:color w:val="5B9BD5" w:themeColor="accent1"/>
          <w:sz w:val="26"/>
          <w:szCs w:val="26"/>
        </w:rPr>
        <w:t>30 Semester Credits Earned</w:t>
      </w:r>
      <w:r w:rsidRPr="00DC7E26">
        <w:rPr>
          <w:rFonts w:asciiTheme="majorHAnsi" w:hAnsiTheme="majorHAnsi"/>
          <w:b/>
          <w:bCs/>
          <w:color w:val="5B9BD5" w:themeColor="accent1"/>
          <w:sz w:val="26"/>
          <w:szCs w:val="26"/>
        </w:rPr>
        <w:t xml:space="preserve"> – </w:t>
      </w:r>
      <w:r w:rsidRPr="00DC7E26">
        <w:rPr>
          <w:i/>
          <w:iCs/>
        </w:rPr>
        <w:t xml:space="preserve">based on institutional credit </w:t>
      </w:r>
      <w:r w:rsidRPr="00113EA3">
        <w:rPr>
          <w:i/>
          <w:iCs/>
        </w:rPr>
        <w:t xml:space="preserve">awarding </w:t>
      </w:r>
      <w:r w:rsidRPr="00DC7E26">
        <w:rPr>
          <w:i/>
          <w:iCs/>
        </w:rPr>
        <w:t>practices</w:t>
      </w:r>
    </w:p>
    <w:p w:rsidR="001104C8" w:rsidRPr="00DC7E26" w:rsidRDefault="001104C8" w:rsidP="001104C8">
      <w:pPr>
        <w:ind w:left="360"/>
      </w:pPr>
      <w:r w:rsidRPr="00DC7E26">
        <w:t xml:space="preserve">Credits accumulated are inclusive of any college-level semester credits of which the institution is aware and are counted according to institutional practice, regardless of the grade awarded. Developmental education credits, except those that are counted towards a credential, should </w:t>
      </w:r>
      <w:r w:rsidRPr="00DC7E26">
        <w:rPr>
          <w:u w:val="single"/>
        </w:rPr>
        <w:t>not</w:t>
      </w:r>
      <w:r w:rsidRPr="00DC7E26">
        <w:t xml:space="preserve"> be included. Credits earned are inclusive of earned college level credits prior to high school completion (e.g. dual enrollment) and transfer credits. </w:t>
      </w:r>
    </w:p>
    <w:p w:rsidR="001104C8" w:rsidRPr="00DC7E26" w:rsidRDefault="001104C8" w:rsidP="001104C8">
      <w:pPr>
        <w:pStyle w:val="ListParagraph"/>
      </w:pPr>
      <w:r w:rsidRPr="00DC7E26">
        <w:t>Used to determine:</w:t>
      </w:r>
    </w:p>
    <w:p w:rsidR="001104C8" w:rsidRDefault="001104C8" w:rsidP="001104C8">
      <w:pPr>
        <w:pStyle w:val="ListParagraph"/>
        <w:numPr>
          <w:ilvl w:val="1"/>
          <w:numId w:val="5"/>
        </w:numPr>
      </w:pPr>
      <w:r w:rsidRPr="00DC7E26">
        <w:t>Six-Year Outcomes: Left with ≥ 30 credits</w:t>
      </w:r>
    </w:p>
    <w:p w:rsidR="001104C8" w:rsidRPr="00DC7E26" w:rsidRDefault="001104C8" w:rsidP="001104C8">
      <w:pPr>
        <w:pStyle w:val="ListParagraph"/>
        <w:numPr>
          <w:ilvl w:val="1"/>
          <w:numId w:val="5"/>
        </w:numPr>
      </w:pPr>
      <w:r w:rsidRPr="00DC7E26">
        <w:t>Six-Year Outcomes: Left with &lt; 30 credits</w:t>
      </w:r>
    </w:p>
    <w:p w:rsidR="001104C8" w:rsidRPr="00DC7E26" w:rsidRDefault="001104C8" w:rsidP="001104C8">
      <w:pPr>
        <w:rPr>
          <w:color w:val="1F497D"/>
        </w:rPr>
      </w:pPr>
      <w:r w:rsidRPr="00DC7E26">
        <w:rPr>
          <w:rFonts w:asciiTheme="majorHAnsi" w:hAnsiTheme="majorHAnsi"/>
          <w:b/>
          <w:bCs/>
          <w:i/>
          <w:color w:val="5B9BD5" w:themeColor="accent1"/>
          <w:sz w:val="26"/>
          <w:szCs w:val="26"/>
        </w:rPr>
        <w:t>Credits Successfully Completed</w:t>
      </w:r>
      <w:r w:rsidRPr="00DC7E26">
        <w:rPr>
          <w:rFonts w:asciiTheme="majorHAnsi" w:hAnsiTheme="majorHAnsi"/>
          <w:b/>
          <w:bCs/>
          <w:i/>
          <w:color w:val="5B9BD5" w:themeColor="accent1"/>
          <w:sz w:val="24"/>
          <w:szCs w:val="24"/>
        </w:rPr>
        <w:t xml:space="preserve"> </w:t>
      </w:r>
      <w:r w:rsidRPr="00DC7E26">
        <w:rPr>
          <w:b/>
          <w:bCs/>
          <w:i/>
          <w:color w:val="5B9BD5" w:themeColor="accent1"/>
          <w:sz w:val="24"/>
          <w:szCs w:val="24"/>
        </w:rPr>
        <w:t>–</w:t>
      </w:r>
      <w:r w:rsidRPr="00113EA3">
        <w:t xml:space="preserve"> </w:t>
      </w:r>
      <w:r w:rsidRPr="00113EA3">
        <w:rPr>
          <w:i/>
          <w:iCs/>
        </w:rPr>
        <w:t>based on the following VFA definition</w:t>
      </w:r>
      <w:r w:rsidRPr="00113EA3">
        <w:t xml:space="preserve"> </w:t>
      </w:r>
    </w:p>
    <w:p w:rsidR="001104C8" w:rsidRDefault="001104C8" w:rsidP="001104C8">
      <w:r w:rsidRPr="00113EA3">
        <w:lastRenderedPageBreak/>
        <w:t>For credits to count as “successfully” completed, a student must earn a “C</w:t>
      </w:r>
      <w:r>
        <w:t>-</w:t>
      </w:r>
      <w:r w:rsidRPr="00113EA3">
        <w:t>” or better</w:t>
      </w:r>
      <w:r>
        <w:t xml:space="preserve"> (</w:t>
      </w:r>
      <w:r w:rsidRPr="00113EA3">
        <w:t>or a “passing” grade for courses without letter grades</w:t>
      </w:r>
      <w:r>
        <w:t>) and, according to institutional practices, be considered to have passed the course</w:t>
      </w:r>
      <w:r w:rsidRPr="00113EA3">
        <w:t>.</w:t>
      </w:r>
      <w:r w:rsidR="00DA19E1">
        <w:t xml:space="preserve">  If, based on institutional practice, a grade of “C-</w:t>
      </w:r>
      <w:r w:rsidR="00DA19E1" w:rsidRPr="00113EA3">
        <w:t>”</w:t>
      </w:r>
      <w:r w:rsidR="00DA19E1">
        <w:t xml:space="preserve"> cannot be applied toward earning a credential, the course should not be counted as successfully completed.</w:t>
      </w:r>
      <w:r w:rsidRPr="00113EA3">
        <w:t xml:space="preserve"> All credits successfully completed must be taken at your institution.</w:t>
      </w:r>
    </w:p>
    <w:p w:rsidR="001104C8" w:rsidRPr="00DC7E26" w:rsidRDefault="001104C8" w:rsidP="001104C8">
      <w:pPr>
        <w:pStyle w:val="ListParagraph"/>
      </w:pPr>
      <w:r w:rsidRPr="00DC7E26">
        <w:t>Used to determine:</w:t>
      </w:r>
    </w:p>
    <w:p w:rsidR="001104C8" w:rsidRPr="00DC7E26" w:rsidRDefault="001104C8" w:rsidP="001104C8">
      <w:pPr>
        <w:pStyle w:val="ListParagraph"/>
        <w:numPr>
          <w:ilvl w:val="0"/>
          <w:numId w:val="6"/>
        </w:numPr>
      </w:pPr>
      <w:r w:rsidRPr="00DC7E26">
        <w:t>Developmental Education Progress: Completed Highest Dev Course</w:t>
      </w:r>
    </w:p>
    <w:p w:rsidR="001104C8" w:rsidRPr="00DC7E26" w:rsidRDefault="001104C8" w:rsidP="001104C8">
      <w:pPr>
        <w:pStyle w:val="ListParagraph"/>
        <w:numPr>
          <w:ilvl w:val="0"/>
          <w:numId w:val="6"/>
        </w:numPr>
      </w:pPr>
      <w:r w:rsidRPr="00DC7E26">
        <w:t>Developmental Education Progress: Completed College Course</w:t>
      </w:r>
    </w:p>
    <w:p w:rsidR="001104C8" w:rsidRPr="00DC7E26" w:rsidRDefault="001104C8" w:rsidP="001104C8">
      <w:pPr>
        <w:pStyle w:val="ListParagraph"/>
        <w:numPr>
          <w:ilvl w:val="0"/>
          <w:numId w:val="6"/>
        </w:numPr>
      </w:pPr>
      <w:r w:rsidRPr="00DC7E26">
        <w:t>Two-Year Progress: Credits Attempted/Completed First Term</w:t>
      </w:r>
    </w:p>
    <w:p w:rsidR="001104C8" w:rsidRDefault="001104C8" w:rsidP="001104C8">
      <w:pPr>
        <w:pStyle w:val="ListParagraph"/>
        <w:numPr>
          <w:ilvl w:val="0"/>
          <w:numId w:val="6"/>
        </w:numPr>
      </w:pPr>
      <w:r w:rsidRPr="00DC7E26">
        <w:t>Two-Year Progress: Credits Attempted/Completed Year Two</w:t>
      </w:r>
    </w:p>
    <w:sectPr w:rsidR="001104C8" w:rsidSect="001104C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12C8D"/>
    <w:multiLevelType w:val="hybridMultilevel"/>
    <w:tmpl w:val="9E0CC7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5F7281"/>
    <w:multiLevelType w:val="hybridMultilevel"/>
    <w:tmpl w:val="3F586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A5EDA"/>
    <w:multiLevelType w:val="hybridMultilevel"/>
    <w:tmpl w:val="F62CA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A41DDA">
      <w:numFmt w:val="bullet"/>
      <w:lvlText w:val="•"/>
      <w:lvlJc w:val="left"/>
      <w:pPr>
        <w:ind w:left="2160" w:hanging="72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40331E"/>
    <w:multiLevelType w:val="hybridMultilevel"/>
    <w:tmpl w:val="7FD2FDD2"/>
    <w:lvl w:ilvl="0" w:tplc="19A64DB8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  <w:b w:val="0"/>
        <w:color w:val="F2F2F2" w:themeColor="background1" w:themeShade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362BDD"/>
    <w:multiLevelType w:val="hybridMultilevel"/>
    <w:tmpl w:val="8ABCBF82"/>
    <w:lvl w:ilvl="0" w:tplc="922E69F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1507C"/>
    <w:multiLevelType w:val="hybridMultilevel"/>
    <w:tmpl w:val="BBC4E9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C8"/>
    <w:rsid w:val="001104C8"/>
    <w:rsid w:val="001964FE"/>
    <w:rsid w:val="003D5CEB"/>
    <w:rsid w:val="00745454"/>
    <w:rsid w:val="008C1E3B"/>
    <w:rsid w:val="00DA19E1"/>
    <w:rsid w:val="00F3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56B45-AAFA-4007-8B93-9CBB1C2D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4C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0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4C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04C8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1104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1104C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MediumGrid2-Accent1">
    <w:name w:val="Medium Grid 2 Accent 1"/>
    <w:basedOn w:val="TableNormal"/>
    <w:uiPriority w:val="68"/>
    <w:rsid w:val="001104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10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EC4BF29CD8D4487C7AF04CBA99993" ma:contentTypeVersion="1" ma:contentTypeDescription="Create a new document." ma:contentTypeScope="" ma:versionID="65ed2610a5cba005be8e216f5209ab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e719bc752a0c41c532d2795c283f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4E113-0BDA-4187-A9B7-7C8940629D74}"/>
</file>

<file path=customXml/itemProps2.xml><?xml version="1.0" encoding="utf-8"?>
<ds:datastoreItem xmlns:ds="http://schemas.openxmlformats.org/officeDocument/2006/customXml" ds:itemID="{A1272C09-5CBF-4AAD-A7AA-0548E4AFA5BD}"/>
</file>

<file path=customXml/itemProps3.xml><?xml version="1.0" encoding="utf-8"?>
<ds:datastoreItem xmlns:ds="http://schemas.openxmlformats.org/officeDocument/2006/customXml" ds:itemID="{D9908B12-DD8D-4A8E-A024-33AE6A2AB7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CULLITY</dc:creator>
  <cp:keywords/>
  <dc:description/>
  <cp:lastModifiedBy>DAWN CULLITY</cp:lastModifiedBy>
  <cp:revision>4</cp:revision>
  <dcterms:created xsi:type="dcterms:W3CDTF">2016-11-21T15:39:00Z</dcterms:created>
  <dcterms:modified xsi:type="dcterms:W3CDTF">2016-11-21T16:09:00Z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0x010100B6AEC4BF29CD8D4487C7AF04CBA99993</vt:lpwstr>
  </property>
</Properties>
</file>