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673"/>
        <w:gridCol w:w="7885"/>
      </w:tblGrid>
      <w:tr w:rsidR="006530EF" w:rsidRPr="00552AB3" w:rsidTr="003916CD">
        <w:trPr>
          <w:cantSplit/>
          <w:tblHeader/>
        </w:trPr>
        <w:tc>
          <w:tcPr>
            <w:tcW w:w="9558" w:type="dxa"/>
            <w:gridSpan w:val="2"/>
            <w:shd w:val="clear" w:color="auto" w:fill="0079C1"/>
          </w:tcPr>
          <w:p w:rsidR="006530EF" w:rsidRPr="00552AB3" w:rsidRDefault="006530EF" w:rsidP="003916CD">
            <w:pPr>
              <w:spacing w:before="120" w:after="120" w:line="240" w:lineRule="auto"/>
              <w:rPr>
                <w:sz w:val="20"/>
                <w:szCs w:val="20"/>
              </w:rPr>
            </w:pPr>
            <w:r w:rsidRPr="00552AB3">
              <w:rPr>
                <w:b/>
                <w:color w:val="FFFFFF" w:themeColor="background1"/>
                <w:sz w:val="28"/>
                <w:szCs w:val="28"/>
              </w:rPr>
              <w:t>Definitions of Basic Terms</w:t>
            </w:r>
          </w:p>
        </w:tc>
      </w:tr>
      <w:tr w:rsidR="006530EF" w:rsidRPr="003C76F9" w:rsidTr="003916CD">
        <w:trPr>
          <w:cantSplit/>
          <w:tblHeader/>
        </w:trPr>
        <w:tc>
          <w:tcPr>
            <w:tcW w:w="1673" w:type="dxa"/>
            <w:shd w:val="clear" w:color="auto" w:fill="DEEAF6" w:themeFill="accent1" w:themeFillTint="33"/>
          </w:tcPr>
          <w:p w:rsidR="006530EF" w:rsidRPr="003C76F9" w:rsidRDefault="006530EF" w:rsidP="003916CD">
            <w:pPr>
              <w:spacing w:before="20" w:after="20"/>
              <w:rPr>
                <w:rFonts w:asciiTheme="majorHAnsi" w:hAnsiTheme="majorHAnsi"/>
                <w:b/>
                <w:color w:val="44546A" w:themeColor="text2"/>
                <w:sz w:val="20"/>
                <w:szCs w:val="20"/>
              </w:rPr>
            </w:pPr>
            <w:r w:rsidRPr="003C76F9">
              <w:rPr>
                <w:rFonts w:asciiTheme="majorHAnsi" w:hAnsiTheme="majorHAnsi"/>
                <w:b/>
                <w:color w:val="44546A" w:themeColor="text2"/>
                <w:sz w:val="20"/>
                <w:szCs w:val="20"/>
              </w:rPr>
              <w:t>Term</w:t>
            </w:r>
          </w:p>
        </w:tc>
        <w:tc>
          <w:tcPr>
            <w:tcW w:w="7885" w:type="dxa"/>
            <w:shd w:val="clear" w:color="auto" w:fill="DEEAF6" w:themeFill="accent1" w:themeFillTint="33"/>
          </w:tcPr>
          <w:p w:rsidR="006530EF" w:rsidRPr="003C76F9" w:rsidRDefault="006530EF" w:rsidP="003916CD">
            <w:pPr>
              <w:spacing w:before="20" w:after="20"/>
              <w:rPr>
                <w:rFonts w:asciiTheme="majorHAnsi" w:hAnsiTheme="majorHAnsi"/>
                <w:b/>
                <w:color w:val="44546A" w:themeColor="text2"/>
                <w:sz w:val="20"/>
                <w:szCs w:val="20"/>
              </w:rPr>
            </w:pPr>
            <w:r w:rsidRPr="003C76F9">
              <w:rPr>
                <w:rFonts w:asciiTheme="majorHAnsi" w:hAnsiTheme="majorHAnsi"/>
                <w:b/>
                <w:color w:val="44546A" w:themeColor="text2"/>
                <w:sz w:val="20"/>
                <w:szCs w:val="20"/>
              </w:rPr>
              <w:t>Definition</w:t>
            </w:r>
          </w:p>
        </w:tc>
      </w:tr>
      <w:tr w:rsidR="006530EF" w:rsidRPr="00024EDE" w:rsidTr="003916CD">
        <w:trPr>
          <w:cantSplit/>
        </w:trPr>
        <w:tc>
          <w:tcPr>
            <w:tcW w:w="1673" w:type="dxa"/>
          </w:tcPr>
          <w:p w:rsidR="006530EF" w:rsidRPr="00024EDE" w:rsidRDefault="006530EF" w:rsidP="003916CD">
            <w:pPr>
              <w:spacing w:before="120" w:after="120" w:line="240" w:lineRule="auto"/>
            </w:pPr>
            <w:r w:rsidRPr="00024EDE">
              <w:t>Successful Completion of a Course</w:t>
            </w:r>
          </w:p>
        </w:tc>
        <w:tc>
          <w:tcPr>
            <w:tcW w:w="7885" w:type="dxa"/>
          </w:tcPr>
          <w:p w:rsidR="006530EF" w:rsidRDefault="006530EF" w:rsidP="000C23B4">
            <w:pPr>
              <w:pStyle w:val="NormalWeb"/>
              <w:spacing w:line="252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Success in a course is based on the institution’s policies or practices where credits can be applied to the completion of a program of study, progression through developmental education, or requirement to graduate, as long as the grade</w:t>
            </w:r>
            <w:r w:rsidR="008257DE">
              <w:rPr>
                <w:rFonts w:ascii="Cambria" w:hAnsi="Cambria"/>
                <w:sz w:val="22"/>
                <w:szCs w:val="22"/>
              </w:rPr>
              <w:t xml:space="preserve"> awarded</w:t>
            </w:r>
            <w:r>
              <w:rPr>
                <w:rFonts w:ascii="Cambria" w:hAnsi="Cambria"/>
                <w:sz w:val="22"/>
                <w:szCs w:val="22"/>
              </w:rPr>
              <w:t xml:space="preserve"> is at least “C-” or better, or P if the course was offered as pass/fail. </w:t>
            </w:r>
          </w:p>
          <w:p w:rsidR="006530EF" w:rsidRDefault="006530EF" w:rsidP="003916CD">
            <w:pPr>
              <w:pStyle w:val="NormalWeb"/>
              <w:spacing w:line="252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If the college’s credit awarding practices does not allow a student to progress with a grade of “C-“, the higher grade the college uses should be used in determining successful completion of the course. However, VFA is not allowing any grade below “C-“ (i.e. “D+”) to be used, regardless of institutional policy.</w:t>
            </w:r>
          </w:p>
          <w:p w:rsidR="006530EF" w:rsidRPr="00024EDE" w:rsidRDefault="006530EF" w:rsidP="003916CD">
            <w:pPr>
              <w:spacing w:before="120" w:after="120" w:line="240" w:lineRule="auto"/>
            </w:pPr>
            <w:r w:rsidRPr="00024EDE">
              <w:rPr>
                <w:i/>
              </w:rPr>
              <w:t xml:space="preserve">Note this definition is not the same as that used for </w:t>
            </w:r>
            <w:r w:rsidR="008257DE">
              <w:rPr>
                <w:i/>
              </w:rPr>
              <w:t xml:space="preserve">the </w:t>
            </w:r>
            <w:r w:rsidRPr="00024EDE">
              <w:rPr>
                <w:i/>
              </w:rPr>
              <w:t xml:space="preserve">calculation of credits earned.  </w:t>
            </w:r>
            <w:r>
              <w:rPr>
                <w:i/>
              </w:rPr>
              <w:t xml:space="preserve">While </w:t>
            </w:r>
            <w:r w:rsidRPr="00024EDE">
              <w:rPr>
                <w:i/>
              </w:rPr>
              <w:t>“Credits Earned”</w:t>
            </w:r>
            <w:r>
              <w:rPr>
                <w:i/>
              </w:rPr>
              <w:t xml:space="preserve"> is based solely on the institution’s practices of awarding credits</w:t>
            </w:r>
            <w:r w:rsidRPr="00024EDE">
              <w:rPr>
                <w:i/>
              </w:rPr>
              <w:t>, Successful Completion of a Course</w:t>
            </w:r>
            <w:r>
              <w:rPr>
                <w:i/>
              </w:rPr>
              <w:t xml:space="preserve"> also uses</w:t>
            </w:r>
            <w:r w:rsidRPr="00024EDE">
              <w:rPr>
                <w:i/>
              </w:rPr>
              <w:t xml:space="preserve"> a </w:t>
            </w:r>
            <w:r>
              <w:rPr>
                <w:i/>
              </w:rPr>
              <w:t>letter grade threshold of</w:t>
            </w:r>
            <w:r w:rsidRPr="00024EDE">
              <w:rPr>
                <w:i/>
              </w:rPr>
              <w:t xml:space="preserve"> C</w:t>
            </w:r>
            <w:r>
              <w:rPr>
                <w:i/>
              </w:rPr>
              <w:t>-</w:t>
            </w:r>
            <w:r w:rsidRPr="00024EDE">
              <w:rPr>
                <w:i/>
              </w:rPr>
              <w:t xml:space="preserve"> or better</w:t>
            </w:r>
            <w:r>
              <w:rPr>
                <w:i/>
              </w:rPr>
              <w:t xml:space="preserve"> (</w:t>
            </w:r>
            <w:r w:rsidRPr="00024EDE">
              <w:rPr>
                <w:i/>
              </w:rPr>
              <w:t>or a “passing” grade for courses without letter grades</w:t>
            </w:r>
            <w:r>
              <w:rPr>
                <w:i/>
              </w:rPr>
              <w:t>) in addition to the credit awarding or developmental education progression practices of the institution</w:t>
            </w:r>
            <w:r w:rsidRPr="00024EDE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</w:tc>
      </w:tr>
    </w:tbl>
    <w:p w:rsidR="00AC6A7F" w:rsidRDefault="00AC6A7F"/>
    <w:p w:rsidR="000C23B4" w:rsidRDefault="000C23B4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Toc433795805"/>
      <w:r>
        <w:br w:type="page"/>
      </w:r>
    </w:p>
    <w:p w:rsidR="000C23B4" w:rsidRDefault="000C23B4" w:rsidP="000C23B4">
      <w:pPr>
        <w:pStyle w:val="Heading1"/>
        <w:spacing w:before="0"/>
      </w:pPr>
      <w:r>
        <w:lastRenderedPageBreak/>
        <w:t>Appendix C: Credits Earned vs. Successfully Completed</w:t>
      </w:r>
      <w:bookmarkEnd w:id="0"/>
    </w:p>
    <w:p w:rsidR="000C23B4" w:rsidRDefault="000C23B4" w:rsidP="000C23B4">
      <w:r w:rsidRPr="003F4835">
        <w:t xml:space="preserve">The </w:t>
      </w:r>
      <w:r>
        <w:t xml:space="preserve">VFA uses credits in different ways to calculate the metrics. Please see below for the definitions as well as the metrics that use them. </w:t>
      </w:r>
    </w:p>
    <w:p w:rsidR="000C23B4" w:rsidRDefault="000C23B4" w:rsidP="000C23B4">
      <w:pPr>
        <w:rPr>
          <w:i/>
          <w:iCs/>
        </w:rPr>
      </w:pPr>
      <w:r>
        <w:rPr>
          <w:rFonts w:asciiTheme="majorHAnsi" w:hAnsiTheme="majorHAnsi"/>
          <w:b/>
          <w:bCs/>
          <w:i/>
          <w:color w:val="5B9BD5" w:themeColor="accent1"/>
          <w:sz w:val="26"/>
          <w:szCs w:val="26"/>
        </w:rPr>
        <w:t xml:space="preserve">Credential Seeking Cohort - </w:t>
      </w:r>
      <w:r w:rsidRPr="00DC7E26">
        <w:rPr>
          <w:i/>
          <w:iCs/>
        </w:rPr>
        <w:t xml:space="preserve">based on institutional credit </w:t>
      </w:r>
      <w:r w:rsidRPr="00113EA3">
        <w:rPr>
          <w:i/>
          <w:iCs/>
        </w:rPr>
        <w:t xml:space="preserve">awarding </w:t>
      </w:r>
      <w:r w:rsidRPr="00DC7E26">
        <w:rPr>
          <w:i/>
          <w:iCs/>
        </w:rPr>
        <w:t>practices</w:t>
      </w:r>
    </w:p>
    <w:p w:rsidR="000C23B4" w:rsidRPr="00222467" w:rsidRDefault="000C23B4" w:rsidP="000C23B4">
      <w:r w:rsidRPr="00113EA3">
        <w:t xml:space="preserve">Credits accumulated are </w:t>
      </w:r>
      <w:r>
        <w:t>inclusive of college-level and developmental education coursework</w:t>
      </w:r>
      <w:r w:rsidRPr="00444D07">
        <w:t xml:space="preserve"> </w:t>
      </w:r>
      <w:r>
        <w:t>(</w:t>
      </w:r>
      <w:r w:rsidRPr="00DC7E26">
        <w:t>converted to credit equivalents</w:t>
      </w:r>
      <w:r>
        <w:t xml:space="preserve">, if applicable) </w:t>
      </w:r>
      <w:r>
        <w:rPr>
          <w:u w:val="single"/>
        </w:rPr>
        <w:t xml:space="preserve">completed at your college </w:t>
      </w:r>
      <w:r w:rsidRPr="00444D07">
        <w:rPr>
          <w:u w:val="single"/>
        </w:rPr>
        <w:t>by the end of their second year</w:t>
      </w:r>
      <w:r w:rsidRPr="003916CD">
        <w:t xml:space="preserve"> [including the summer term]</w:t>
      </w:r>
      <w:r>
        <w:t xml:space="preserve">. Credits should be </w:t>
      </w:r>
      <w:r w:rsidRPr="00222467">
        <w:t>counted</w:t>
      </w:r>
      <w:r w:rsidRPr="00444D07">
        <w:t xml:space="preserve"> according to institutional practice, regardless of the grade awarded</w:t>
      </w:r>
      <w:r>
        <w:t xml:space="preserve">. Credits </w:t>
      </w:r>
      <w:r w:rsidRPr="00222467">
        <w:t xml:space="preserve">transferred in and credits earned prior to high school completion (e.g. dual enrollment) and transfer credits </w:t>
      </w:r>
      <w:r w:rsidRPr="00222467">
        <w:rPr>
          <w:u w:val="single"/>
        </w:rPr>
        <w:t>should not</w:t>
      </w:r>
      <w:r w:rsidRPr="00222467">
        <w:t xml:space="preserve"> be included.</w:t>
      </w:r>
    </w:p>
    <w:p w:rsidR="000C23B4" w:rsidRDefault="000C23B4" w:rsidP="000C23B4">
      <w:pPr>
        <w:rPr>
          <w:color w:val="1F497D"/>
        </w:rPr>
      </w:pPr>
      <w:r w:rsidRPr="00DC7E26">
        <w:rPr>
          <w:rFonts w:asciiTheme="majorHAnsi" w:hAnsiTheme="majorHAnsi"/>
          <w:b/>
          <w:bCs/>
          <w:i/>
          <w:color w:val="5B9BD5" w:themeColor="accent1"/>
          <w:sz w:val="26"/>
          <w:szCs w:val="26"/>
        </w:rPr>
        <w:t>Credits Earned</w:t>
      </w:r>
      <w:r w:rsidRPr="00DC7E26">
        <w:rPr>
          <w:color w:val="5B9BD5" w:themeColor="accent1"/>
        </w:rPr>
        <w:t xml:space="preserve"> </w:t>
      </w:r>
      <w:r w:rsidRPr="00113EA3">
        <w:t xml:space="preserve">– </w:t>
      </w:r>
      <w:r w:rsidRPr="00113EA3">
        <w:rPr>
          <w:i/>
          <w:iCs/>
        </w:rPr>
        <w:t>based on institutional credit awarding practices</w:t>
      </w:r>
      <w:r w:rsidRPr="00113EA3">
        <w:t xml:space="preserve"> </w:t>
      </w:r>
    </w:p>
    <w:p w:rsidR="000C23B4" w:rsidRDefault="000C23B4" w:rsidP="000C23B4">
      <w:r w:rsidRPr="00113EA3">
        <w:t xml:space="preserve">Credits accumulated are inclusive of any credits of which the institution is aware </w:t>
      </w:r>
      <w:r w:rsidRPr="00DC7E26">
        <w:t xml:space="preserve">(or developmental education courses for which you don’t award credit but are converted to credit equivalents) </w:t>
      </w:r>
      <w:r w:rsidRPr="00113EA3">
        <w:t xml:space="preserve">and are counted according to institutional practice, regardless of the grade awarded. Credits earned are inclusive of earned credits prior to high school completion (e.g. dual enrollment) and transfer credits. </w:t>
      </w:r>
    </w:p>
    <w:p w:rsidR="000C23B4" w:rsidRPr="00DC7E26" w:rsidRDefault="000C23B4" w:rsidP="000C23B4">
      <w:pPr>
        <w:pStyle w:val="ListParagraph"/>
      </w:pPr>
      <w:r w:rsidRPr="00DC7E26">
        <w:t>Used to determine:</w:t>
      </w:r>
    </w:p>
    <w:p w:rsidR="000C23B4" w:rsidRDefault="000C23B4" w:rsidP="000C23B4">
      <w:pPr>
        <w:pStyle w:val="ListParagraph"/>
        <w:numPr>
          <w:ilvl w:val="1"/>
          <w:numId w:val="3"/>
        </w:numPr>
      </w:pPr>
      <w:r w:rsidRPr="00DC7E26">
        <w:t>Two-Year Progress: Reached Credit Threshold</w:t>
      </w:r>
    </w:p>
    <w:p w:rsidR="000C23B4" w:rsidRPr="00DC7E26" w:rsidRDefault="000C23B4" w:rsidP="000C23B4">
      <w:pPr>
        <w:ind w:left="360"/>
        <w:rPr>
          <w:i/>
          <w:iCs/>
        </w:rPr>
      </w:pPr>
      <w:r w:rsidRPr="00DC7E26">
        <w:rPr>
          <w:rFonts w:asciiTheme="majorHAnsi" w:hAnsiTheme="majorHAnsi"/>
          <w:b/>
          <w:bCs/>
          <w:i/>
          <w:color w:val="5B9BD5" w:themeColor="accent1"/>
          <w:sz w:val="26"/>
          <w:szCs w:val="26"/>
        </w:rPr>
        <w:t>30 Semester Credits Earned</w:t>
      </w:r>
      <w:r w:rsidRPr="00DC7E26">
        <w:rPr>
          <w:rFonts w:asciiTheme="majorHAnsi" w:hAnsiTheme="majorHAnsi"/>
          <w:b/>
          <w:bCs/>
          <w:color w:val="5B9BD5" w:themeColor="accent1"/>
          <w:sz w:val="26"/>
          <w:szCs w:val="26"/>
        </w:rPr>
        <w:t xml:space="preserve"> – </w:t>
      </w:r>
      <w:r w:rsidRPr="00DC7E26">
        <w:rPr>
          <w:i/>
          <w:iCs/>
        </w:rPr>
        <w:t xml:space="preserve">based on institutional credit </w:t>
      </w:r>
      <w:r w:rsidRPr="00113EA3">
        <w:rPr>
          <w:i/>
          <w:iCs/>
        </w:rPr>
        <w:t xml:space="preserve">awarding </w:t>
      </w:r>
      <w:r w:rsidRPr="00DC7E26">
        <w:rPr>
          <w:i/>
          <w:iCs/>
        </w:rPr>
        <w:t>practices</w:t>
      </w:r>
    </w:p>
    <w:p w:rsidR="000C23B4" w:rsidRPr="00DC7E26" w:rsidRDefault="000C23B4" w:rsidP="000C23B4">
      <w:pPr>
        <w:ind w:left="360"/>
      </w:pPr>
      <w:r w:rsidRPr="00DC7E26">
        <w:t xml:space="preserve">Credits accumulated are inclusive of any college-level semester credits of which the institution is aware and are counted according to institutional practice, regardless of the grade awarded. Developmental education credits, except those that are counted towards a credential, should </w:t>
      </w:r>
      <w:r w:rsidRPr="00DC7E26">
        <w:rPr>
          <w:u w:val="single"/>
        </w:rPr>
        <w:t>not</w:t>
      </w:r>
      <w:r w:rsidRPr="00DC7E26">
        <w:t xml:space="preserve"> be included. Credits earned are inclusive of earned college level credits prior to high school completion (e.g. dual enrollment) and transfer credits. </w:t>
      </w:r>
    </w:p>
    <w:p w:rsidR="000C23B4" w:rsidRPr="00DC7E26" w:rsidRDefault="000C23B4" w:rsidP="000C23B4">
      <w:pPr>
        <w:pStyle w:val="ListParagraph"/>
      </w:pPr>
      <w:r w:rsidRPr="00DC7E26">
        <w:t>Used to determine:</w:t>
      </w:r>
    </w:p>
    <w:p w:rsidR="000C23B4" w:rsidRDefault="000C23B4" w:rsidP="000C23B4">
      <w:pPr>
        <w:pStyle w:val="ListParagraph"/>
        <w:numPr>
          <w:ilvl w:val="1"/>
          <w:numId w:val="3"/>
        </w:numPr>
      </w:pPr>
      <w:r w:rsidRPr="00DC7E26">
        <w:t>Six-Year Outcomes: Left with ≥ 30 credits</w:t>
      </w:r>
    </w:p>
    <w:p w:rsidR="000C23B4" w:rsidRPr="00DC7E26" w:rsidRDefault="000C23B4" w:rsidP="000C23B4">
      <w:pPr>
        <w:pStyle w:val="ListParagraph"/>
        <w:numPr>
          <w:ilvl w:val="1"/>
          <w:numId w:val="3"/>
        </w:numPr>
      </w:pPr>
      <w:r w:rsidRPr="00DC7E26">
        <w:t>Six-Year Outcomes: Left with &lt; 30 credits</w:t>
      </w:r>
    </w:p>
    <w:p w:rsidR="000C23B4" w:rsidRPr="00DC7E26" w:rsidRDefault="000C23B4" w:rsidP="000C23B4">
      <w:pPr>
        <w:rPr>
          <w:color w:val="1F497D"/>
        </w:rPr>
      </w:pPr>
      <w:r w:rsidRPr="00DC7E26">
        <w:rPr>
          <w:rFonts w:asciiTheme="majorHAnsi" w:hAnsiTheme="majorHAnsi"/>
          <w:b/>
          <w:bCs/>
          <w:i/>
          <w:color w:val="5B9BD5" w:themeColor="accent1"/>
          <w:sz w:val="26"/>
          <w:szCs w:val="26"/>
        </w:rPr>
        <w:t>Credits Successfully Completed</w:t>
      </w:r>
      <w:r w:rsidRPr="00DC7E26">
        <w:rPr>
          <w:rFonts w:asciiTheme="majorHAnsi" w:hAnsiTheme="majorHAnsi"/>
          <w:b/>
          <w:bCs/>
          <w:i/>
          <w:color w:val="5B9BD5" w:themeColor="accent1"/>
          <w:sz w:val="24"/>
          <w:szCs w:val="24"/>
        </w:rPr>
        <w:t xml:space="preserve"> </w:t>
      </w:r>
      <w:r w:rsidRPr="00DC7E26">
        <w:rPr>
          <w:b/>
          <w:bCs/>
          <w:i/>
          <w:color w:val="5B9BD5" w:themeColor="accent1"/>
          <w:sz w:val="24"/>
          <w:szCs w:val="24"/>
        </w:rPr>
        <w:t>–</w:t>
      </w:r>
      <w:r w:rsidRPr="00113EA3">
        <w:t xml:space="preserve"> </w:t>
      </w:r>
      <w:r w:rsidRPr="00113EA3">
        <w:rPr>
          <w:i/>
          <w:iCs/>
        </w:rPr>
        <w:t>based on the following VFA definition</w:t>
      </w:r>
      <w:r w:rsidRPr="00113EA3">
        <w:t xml:space="preserve"> </w:t>
      </w:r>
    </w:p>
    <w:p w:rsidR="000C23B4" w:rsidRDefault="000C23B4" w:rsidP="000C23B4">
      <w:r w:rsidRPr="00113EA3">
        <w:t>For credits to count as “successfully” completed, a student must earn a “C</w:t>
      </w:r>
      <w:r>
        <w:t>-</w:t>
      </w:r>
      <w:r w:rsidRPr="00113EA3">
        <w:t>” or better</w:t>
      </w:r>
      <w:r>
        <w:t xml:space="preserve"> (</w:t>
      </w:r>
      <w:r w:rsidRPr="00113EA3">
        <w:t>or a “passing” grade for courses without letter grades</w:t>
      </w:r>
      <w:r>
        <w:t>) and, according to institutional practices, be considered to have passed the course</w:t>
      </w:r>
      <w:r w:rsidRPr="00113EA3">
        <w:t>.</w:t>
      </w:r>
      <w:r>
        <w:t xml:space="preserve">  If, based on institutional practice, a grade of “C-</w:t>
      </w:r>
      <w:r w:rsidRPr="00113EA3">
        <w:t>”</w:t>
      </w:r>
      <w:r>
        <w:t xml:space="preserve"> cannot be applied toward earning a credential, the course should not be counted as successfully completed.</w:t>
      </w:r>
      <w:r w:rsidRPr="00113EA3">
        <w:t xml:space="preserve"> All credits successfully completed must be taken at your institution.</w:t>
      </w:r>
    </w:p>
    <w:p w:rsidR="000C23B4" w:rsidRPr="00DC7E26" w:rsidRDefault="000C23B4" w:rsidP="000C23B4">
      <w:pPr>
        <w:pStyle w:val="ListParagraph"/>
      </w:pPr>
      <w:r w:rsidRPr="00DC7E26">
        <w:t>Used to determine:</w:t>
      </w:r>
    </w:p>
    <w:p w:rsidR="000C23B4" w:rsidRPr="00DC7E26" w:rsidRDefault="000C23B4" w:rsidP="000C23B4">
      <w:pPr>
        <w:pStyle w:val="ListParagraph"/>
        <w:numPr>
          <w:ilvl w:val="0"/>
          <w:numId w:val="4"/>
        </w:numPr>
      </w:pPr>
      <w:r w:rsidRPr="00DC7E26">
        <w:t>Developmental Education Progress: Completed Highest Dev Course</w:t>
      </w:r>
    </w:p>
    <w:p w:rsidR="000C23B4" w:rsidRPr="00DC7E26" w:rsidRDefault="000C23B4" w:rsidP="000C23B4">
      <w:pPr>
        <w:pStyle w:val="ListParagraph"/>
        <w:numPr>
          <w:ilvl w:val="0"/>
          <w:numId w:val="4"/>
        </w:numPr>
      </w:pPr>
      <w:r w:rsidRPr="00DC7E26">
        <w:t>Developmental Education Progress: Completed College Course</w:t>
      </w:r>
    </w:p>
    <w:p w:rsidR="000C23B4" w:rsidRPr="00DC7E26" w:rsidRDefault="000C23B4" w:rsidP="000C23B4">
      <w:pPr>
        <w:pStyle w:val="ListParagraph"/>
        <w:numPr>
          <w:ilvl w:val="0"/>
          <w:numId w:val="4"/>
        </w:numPr>
      </w:pPr>
      <w:r w:rsidRPr="00DC7E26">
        <w:t>Two-Year Progress: Credits Attempted/Completed First Term</w:t>
      </w:r>
    </w:p>
    <w:p w:rsidR="000C23B4" w:rsidRDefault="000C23B4" w:rsidP="000C23B4">
      <w:pPr>
        <w:pStyle w:val="ListParagraph"/>
        <w:numPr>
          <w:ilvl w:val="0"/>
          <w:numId w:val="4"/>
        </w:numPr>
      </w:pPr>
      <w:r w:rsidRPr="00DC7E26">
        <w:t>Two-Year Progress: Credits Attempted/Completed Year Two</w:t>
      </w:r>
    </w:p>
    <w:p w:rsidR="00AC6A7F" w:rsidRDefault="006530EF" w:rsidP="000C23B4">
      <w:pPr>
        <w:spacing w:after="160" w:line="259" w:lineRule="auto"/>
      </w:pPr>
      <w:r>
        <w:lastRenderedPageBreak/>
        <w:t>Application in Metrics:</w:t>
      </w:r>
    </w:p>
    <w:tbl>
      <w:tblPr>
        <w:tblStyle w:val="TableGrid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4772"/>
        <w:gridCol w:w="2469"/>
      </w:tblGrid>
      <w:tr w:rsidR="00AC6A7F" w:rsidRPr="00296305" w:rsidTr="000C23B4">
        <w:tc>
          <w:tcPr>
            <w:tcW w:w="0" w:type="auto"/>
            <w:gridSpan w:val="3"/>
            <w:shd w:val="clear" w:color="auto" w:fill="0070C0"/>
          </w:tcPr>
          <w:p w:rsidR="00AC6A7F" w:rsidRPr="008D5F87" w:rsidRDefault="00AC6A7F" w:rsidP="003916CD">
            <w:pPr>
              <w:spacing w:before="120" w:after="40"/>
              <w:jc w:val="center"/>
              <w:rPr>
                <w:rFonts w:asciiTheme="majorHAnsi" w:eastAsiaTheme="majorEastAsia" w:hAnsiTheme="majorHAnsi" w:cstheme="majorBidi"/>
                <w:b/>
                <w:bCs/>
                <w:color w:val="F2F2F2" w:themeColor="background1" w:themeShade="F2"/>
                <w:sz w:val="26"/>
                <w:szCs w:val="26"/>
                <w:u w:val="single"/>
              </w:rPr>
            </w:pPr>
            <w:r>
              <w:br w:type="page"/>
            </w:r>
            <w:r w:rsidRPr="009515FB">
              <w:rPr>
                <w:rFonts w:asciiTheme="majorHAnsi" w:eastAsiaTheme="majorEastAsia" w:hAnsiTheme="majorHAnsi" w:cstheme="majorBidi"/>
                <w:b/>
                <w:bCs/>
                <w:color w:val="F2F2F2" w:themeColor="background1" w:themeShade="F2"/>
                <w:sz w:val="26"/>
                <w:szCs w:val="26"/>
                <w:u w:val="single"/>
              </w:rPr>
              <w:t xml:space="preserve">Two-Year 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F2F2F2" w:themeColor="background1" w:themeShade="F2"/>
                <w:sz w:val="26"/>
                <w:szCs w:val="26"/>
                <w:u w:val="single"/>
              </w:rPr>
              <w:t>Credit</w:t>
            </w:r>
            <w:r w:rsidRPr="009515FB">
              <w:rPr>
                <w:rFonts w:asciiTheme="majorHAnsi" w:eastAsiaTheme="majorEastAsia" w:hAnsiTheme="majorHAnsi" w:cstheme="majorBidi"/>
                <w:b/>
                <w:bCs/>
                <w:color w:val="F2F2F2" w:themeColor="background1" w:themeShade="F2"/>
                <w:sz w:val="26"/>
                <w:szCs w:val="26"/>
                <w:u w:val="single"/>
              </w:rPr>
              <w:t xml:space="preserve"> Measures</w:t>
            </w:r>
          </w:p>
        </w:tc>
      </w:tr>
      <w:tr w:rsidR="00AC6A7F" w:rsidTr="000C23B4">
        <w:tc>
          <w:tcPr>
            <w:tcW w:w="0" w:type="auto"/>
            <w:shd w:val="clear" w:color="auto" w:fill="807F83"/>
          </w:tcPr>
          <w:p w:rsidR="00AC6A7F" w:rsidRPr="00B12ADE" w:rsidRDefault="00AC6A7F" w:rsidP="003916CD">
            <w:pPr>
              <w:spacing w:before="20" w:after="20"/>
              <w:rPr>
                <w:rFonts w:ascii="Arial" w:hAnsi="Arial" w:cs="Arial"/>
                <w:b/>
                <w:color w:val="FFFFFF" w:themeColor="background1"/>
              </w:rPr>
            </w:pPr>
            <w:r w:rsidRPr="00B12ADE">
              <w:rPr>
                <w:rFonts w:ascii="Arial" w:hAnsi="Arial" w:cs="Arial"/>
                <w:b/>
                <w:color w:val="FFFFFF" w:themeColor="background1"/>
              </w:rPr>
              <w:t>Measure Name</w:t>
            </w:r>
          </w:p>
        </w:tc>
        <w:tc>
          <w:tcPr>
            <w:tcW w:w="2393" w:type="pct"/>
            <w:shd w:val="clear" w:color="auto" w:fill="807F83"/>
          </w:tcPr>
          <w:p w:rsidR="00AC6A7F" w:rsidRPr="00B12ADE" w:rsidRDefault="00AC6A7F" w:rsidP="003916CD">
            <w:pPr>
              <w:spacing w:before="20" w:after="20"/>
              <w:rPr>
                <w:rFonts w:ascii="Arial" w:hAnsi="Arial" w:cs="Arial"/>
                <w:b/>
                <w:color w:val="FFFFFF" w:themeColor="background1"/>
              </w:rPr>
            </w:pPr>
            <w:r w:rsidRPr="00B12ADE">
              <w:rPr>
                <w:rFonts w:ascii="Arial" w:hAnsi="Arial" w:cs="Arial"/>
                <w:b/>
                <w:color w:val="FFFFFF" w:themeColor="background1"/>
              </w:rPr>
              <w:t>Definition</w:t>
            </w:r>
          </w:p>
        </w:tc>
        <w:tc>
          <w:tcPr>
            <w:tcW w:w="1238" w:type="pct"/>
            <w:shd w:val="clear" w:color="auto" w:fill="807F83"/>
          </w:tcPr>
          <w:p w:rsidR="00AC6A7F" w:rsidRPr="00B12ADE" w:rsidRDefault="00AC6A7F" w:rsidP="003916CD">
            <w:pPr>
              <w:spacing w:before="20" w:after="20"/>
              <w:rPr>
                <w:rFonts w:ascii="Arial" w:hAnsi="Arial" w:cs="Arial"/>
                <w:b/>
                <w:color w:val="FFFFFF" w:themeColor="background1"/>
              </w:rPr>
            </w:pPr>
            <w:r w:rsidRPr="00B12ADE">
              <w:rPr>
                <w:rFonts w:ascii="Arial" w:hAnsi="Arial" w:cs="Arial"/>
                <w:b/>
                <w:color w:val="FFFFFF" w:themeColor="background1"/>
              </w:rPr>
              <w:t>Important Notes</w:t>
            </w:r>
          </w:p>
        </w:tc>
      </w:tr>
      <w:tr w:rsidR="00AC6A7F" w:rsidTr="000C23B4">
        <w:trPr>
          <w:cantSplit/>
          <w:trHeight w:val="5597"/>
        </w:trPr>
        <w:tc>
          <w:tcPr>
            <w:tcW w:w="0" w:type="auto"/>
            <w:shd w:val="clear" w:color="auto" w:fill="FFF9F3"/>
          </w:tcPr>
          <w:p w:rsidR="00AC6A7F" w:rsidRPr="001343A5" w:rsidRDefault="00AC6A7F" w:rsidP="003916CD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 xml:space="preserve">Percent Credits Successfully Completed </w:t>
            </w:r>
            <w:r w:rsidRPr="001343A5">
              <w:rPr>
                <w:b/>
              </w:rPr>
              <w:t>First Term</w:t>
            </w:r>
          </w:p>
          <w:p w:rsidR="00AC6A7F" w:rsidRPr="00E4691B" w:rsidRDefault="00AC6A7F" w:rsidP="003916C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E4691B">
              <w:rPr>
                <w:rFonts w:cstheme="minorHAnsi"/>
                <w:i/>
                <w:sz w:val="20"/>
                <w:szCs w:val="20"/>
              </w:rPr>
              <w:t>Other names:</w:t>
            </w:r>
          </w:p>
          <w:p w:rsidR="00AC6A7F" w:rsidRDefault="00AC6A7F" w:rsidP="003916C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E77DE6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sz w:val="20"/>
                <w:szCs w:val="20"/>
              </w:rPr>
              <w:t xml:space="preserve"> Term Credit Success Rate</w:t>
            </w:r>
          </w:p>
          <w:p w:rsidR="00AC6A7F" w:rsidRDefault="00AC6A7F" w:rsidP="003916CD">
            <w:pPr>
              <w:pStyle w:val="ListParagraph"/>
              <w:ind w:left="0"/>
              <w:jc w:val="center"/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2393" w:type="pct"/>
            <w:vMerge w:val="restart"/>
            <w:shd w:val="clear" w:color="auto" w:fill="FFF9F3"/>
          </w:tcPr>
          <w:p w:rsidR="00AC6A7F" w:rsidRPr="004D0D09" w:rsidRDefault="00AC6A7F" w:rsidP="003916CD">
            <w:pPr>
              <w:spacing w:after="100" w:afterAutospacing="1"/>
              <w:ind w:right="-18"/>
              <w:rPr>
                <w:sz w:val="20"/>
                <w:szCs w:val="20"/>
              </w:rPr>
            </w:pPr>
            <w:r w:rsidRPr="004D0D09">
              <w:rPr>
                <w:sz w:val="20"/>
                <w:szCs w:val="20"/>
              </w:rPr>
              <w:t xml:space="preserve">Percent of </w:t>
            </w:r>
            <w:r>
              <w:rPr>
                <w:sz w:val="20"/>
                <w:szCs w:val="20"/>
              </w:rPr>
              <w:t xml:space="preserve">semester </w:t>
            </w:r>
            <w:r w:rsidRPr="004D0D09">
              <w:rPr>
                <w:sz w:val="20"/>
                <w:szCs w:val="20"/>
              </w:rPr>
              <w:t xml:space="preserve">credit hours (not students) attempted </w:t>
            </w:r>
            <w:r>
              <w:rPr>
                <w:sz w:val="20"/>
                <w:szCs w:val="20"/>
              </w:rPr>
              <w:t xml:space="preserve">at your college </w:t>
            </w:r>
            <w:r w:rsidRPr="004D0D09">
              <w:rPr>
                <w:sz w:val="20"/>
                <w:szCs w:val="20"/>
              </w:rPr>
              <w:t>in the first (fall) term by the cohort</w:t>
            </w:r>
            <w:r>
              <w:rPr>
                <w:sz w:val="20"/>
                <w:szCs w:val="20"/>
              </w:rPr>
              <w:t xml:space="preserve"> that</w:t>
            </w:r>
            <w:r w:rsidRPr="004D0D09">
              <w:rPr>
                <w:sz w:val="20"/>
                <w:szCs w:val="20"/>
              </w:rPr>
              <w:t xml:space="preserve"> were successfully completed.  </w:t>
            </w:r>
          </w:p>
          <w:p w:rsidR="00AC6A7F" w:rsidRPr="004D0D09" w:rsidRDefault="00AC6A7F" w:rsidP="003916CD">
            <w:pPr>
              <w:spacing w:after="100" w:afterAutospacing="1"/>
              <w:rPr>
                <w:sz w:val="20"/>
                <w:szCs w:val="20"/>
              </w:rPr>
            </w:pPr>
            <w:r w:rsidRPr="004D0D09">
              <w:rPr>
                <w:sz w:val="20"/>
                <w:szCs w:val="20"/>
                <w:u w:val="single"/>
              </w:rPr>
              <w:t>What to report</w:t>
            </w:r>
            <w:r w:rsidRPr="004D0D09">
              <w:rPr>
                <w:sz w:val="20"/>
                <w:szCs w:val="20"/>
              </w:rPr>
              <w:t xml:space="preserve">: </w:t>
            </w:r>
          </w:p>
          <w:p w:rsidR="00AC6A7F" w:rsidRPr="004D0D09" w:rsidRDefault="00AC6A7F" w:rsidP="00AC6A7F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ind w:left="326" w:hanging="270"/>
              <w:rPr>
                <w:spacing w:val="-2"/>
                <w:sz w:val="20"/>
                <w:szCs w:val="20"/>
              </w:rPr>
            </w:pPr>
            <w:r w:rsidRPr="004D0D09">
              <w:rPr>
                <w:smallCaps/>
                <w:spacing w:val="-2"/>
                <w:sz w:val="20"/>
                <w:szCs w:val="20"/>
              </w:rPr>
              <w:t>Numerator:</w:t>
            </w:r>
            <w:r w:rsidRPr="004D0D09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N</w:t>
            </w:r>
            <w:r w:rsidRPr="004D0D09">
              <w:rPr>
                <w:spacing w:val="-2"/>
                <w:sz w:val="20"/>
                <w:szCs w:val="20"/>
              </w:rPr>
              <w:t xml:space="preserve">umber of semester </w:t>
            </w:r>
            <w:r w:rsidRPr="000D506B">
              <w:rPr>
                <w:b/>
                <w:spacing w:val="-2"/>
                <w:sz w:val="20"/>
                <w:szCs w:val="20"/>
                <w:u w:val="single"/>
              </w:rPr>
              <w:t>credit hours</w:t>
            </w:r>
            <w:r w:rsidRPr="000D506B">
              <w:rPr>
                <w:b/>
                <w:spacing w:val="-2"/>
                <w:sz w:val="20"/>
                <w:szCs w:val="20"/>
              </w:rPr>
              <w:t xml:space="preserve"> successfully completed</w:t>
            </w:r>
            <w:r w:rsidRPr="004D0D09">
              <w:rPr>
                <w:spacing w:val="-2"/>
                <w:sz w:val="20"/>
                <w:szCs w:val="20"/>
              </w:rPr>
              <w:t xml:space="preserve"> by </w:t>
            </w:r>
            <w:r>
              <w:rPr>
                <w:spacing w:val="-2"/>
                <w:sz w:val="20"/>
                <w:szCs w:val="20"/>
              </w:rPr>
              <w:t xml:space="preserve">all </w:t>
            </w:r>
            <w:r w:rsidRPr="004D0D09">
              <w:rPr>
                <w:spacing w:val="-2"/>
                <w:sz w:val="20"/>
                <w:szCs w:val="20"/>
              </w:rPr>
              <w:t>students in the cohort by the end of the first (fall) academic term;</w:t>
            </w:r>
            <w:r>
              <w:rPr>
                <w:spacing w:val="-2"/>
                <w:sz w:val="20"/>
                <w:szCs w:val="20"/>
              </w:rPr>
              <w:br/>
            </w:r>
          </w:p>
          <w:p w:rsidR="00AC6A7F" w:rsidRPr="003916CD" w:rsidRDefault="00AC6A7F" w:rsidP="00AC6A7F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ind w:right="-18"/>
              <w:rPr>
                <w:sz w:val="20"/>
                <w:szCs w:val="20"/>
              </w:rPr>
            </w:pPr>
            <w:r w:rsidRPr="003916CD">
              <w:rPr>
                <w:smallCaps/>
                <w:spacing w:val="-2"/>
                <w:sz w:val="20"/>
                <w:szCs w:val="20"/>
              </w:rPr>
              <w:t>Denominator</w:t>
            </w:r>
            <w:r w:rsidRPr="003916CD">
              <w:rPr>
                <w:spacing w:val="-2"/>
                <w:sz w:val="20"/>
                <w:szCs w:val="20"/>
              </w:rPr>
              <w:t xml:space="preserve">: number of semester </w:t>
            </w:r>
            <w:r w:rsidRPr="003916CD">
              <w:rPr>
                <w:b/>
                <w:spacing w:val="-2"/>
                <w:sz w:val="20"/>
                <w:szCs w:val="20"/>
                <w:u w:val="single"/>
              </w:rPr>
              <w:t>credit hours</w:t>
            </w:r>
            <w:r w:rsidRPr="003916CD">
              <w:rPr>
                <w:b/>
                <w:spacing w:val="-2"/>
                <w:sz w:val="20"/>
                <w:szCs w:val="20"/>
              </w:rPr>
              <w:t xml:space="preserve"> attempted</w:t>
            </w:r>
            <w:r w:rsidRPr="003916CD">
              <w:rPr>
                <w:spacing w:val="-2"/>
                <w:sz w:val="20"/>
                <w:szCs w:val="20"/>
              </w:rPr>
              <w:t xml:space="preserve"> by all students in the cohort during the first (fall) academic term.  </w:t>
            </w:r>
          </w:p>
          <w:p w:rsidR="00AC6A7F" w:rsidRPr="003916CD" w:rsidRDefault="00AC6A7F" w:rsidP="003916CD">
            <w:pPr>
              <w:spacing w:after="100" w:afterAutospacing="1"/>
              <w:ind w:right="-18"/>
              <w:rPr>
                <w:sz w:val="20"/>
                <w:szCs w:val="20"/>
              </w:rPr>
            </w:pPr>
            <w:r w:rsidRPr="008257DE">
              <w:rPr>
                <w:sz w:val="20"/>
                <w:szCs w:val="20"/>
              </w:rPr>
              <w:t xml:space="preserve">Post-high school credits taken in the summer prior to their first fall term should </w:t>
            </w:r>
            <w:r w:rsidRPr="008257DE">
              <w:rPr>
                <w:sz w:val="20"/>
                <w:szCs w:val="20"/>
                <w:u w:val="single"/>
              </w:rPr>
              <w:t>not</w:t>
            </w:r>
            <w:r w:rsidRPr="008257DE">
              <w:rPr>
                <w:sz w:val="20"/>
                <w:szCs w:val="20"/>
              </w:rPr>
              <w:t xml:space="preserve"> be included in this metric.</w:t>
            </w:r>
          </w:p>
        </w:tc>
        <w:tc>
          <w:tcPr>
            <w:tcW w:w="1238" w:type="pct"/>
            <w:vMerge w:val="restart"/>
            <w:shd w:val="clear" w:color="auto" w:fill="FFF9F3"/>
          </w:tcPr>
          <w:p w:rsidR="00AC6A7F" w:rsidRPr="00B15F0C" w:rsidRDefault="00AC6A7F" w:rsidP="003916CD">
            <w:pPr>
              <w:spacing w:after="120"/>
              <w:rPr>
                <w:spacing w:val="-2"/>
                <w:sz w:val="20"/>
                <w:szCs w:val="20"/>
              </w:rPr>
            </w:pPr>
            <w:r w:rsidRPr="004D0D09">
              <w:rPr>
                <w:sz w:val="20"/>
                <w:szCs w:val="20"/>
              </w:rPr>
              <w:t xml:space="preserve">For this measure, please calculate and report </w:t>
            </w:r>
            <w:r w:rsidRPr="000D506B">
              <w:rPr>
                <w:sz w:val="20"/>
                <w:szCs w:val="20"/>
                <w:u w:val="single"/>
              </w:rPr>
              <w:t>both</w:t>
            </w:r>
            <w:r w:rsidRPr="004D0D09">
              <w:rPr>
                <w:sz w:val="20"/>
                <w:szCs w:val="20"/>
              </w:rPr>
              <w:t xml:space="preserve"> the numerator </w:t>
            </w:r>
            <w:r w:rsidRPr="00B15F0C">
              <w:rPr>
                <w:spacing w:val="-2"/>
                <w:sz w:val="20"/>
                <w:szCs w:val="20"/>
              </w:rPr>
              <w:t xml:space="preserve">and denominator. </w:t>
            </w:r>
          </w:p>
          <w:p w:rsidR="00AC6A7F" w:rsidRPr="00B15F0C" w:rsidRDefault="00AC6A7F" w:rsidP="003916CD">
            <w:pPr>
              <w:spacing w:after="120"/>
              <w:rPr>
                <w:spacing w:val="-2"/>
                <w:sz w:val="20"/>
                <w:szCs w:val="20"/>
              </w:rPr>
            </w:pPr>
            <w:r w:rsidRPr="00B15F0C">
              <w:rPr>
                <w:smallCaps/>
                <w:spacing w:val="-2"/>
                <w:sz w:val="20"/>
                <w:szCs w:val="20"/>
              </w:rPr>
              <w:t>Note:</w:t>
            </w:r>
            <w:r w:rsidRPr="00B15F0C">
              <w:rPr>
                <w:spacing w:val="-2"/>
                <w:sz w:val="20"/>
                <w:szCs w:val="20"/>
              </w:rPr>
              <w:t xml:space="preserve"> This is a </w:t>
            </w:r>
            <w:r>
              <w:rPr>
                <w:spacing w:val="-2"/>
                <w:sz w:val="20"/>
                <w:szCs w:val="20"/>
              </w:rPr>
              <w:t>count</w:t>
            </w:r>
            <w:r w:rsidRPr="00B15F0C">
              <w:rPr>
                <w:spacing w:val="-2"/>
                <w:sz w:val="20"/>
                <w:szCs w:val="20"/>
              </w:rPr>
              <w:t xml:space="preserve"> of credit hours, not a count of students.</w:t>
            </w:r>
          </w:p>
          <w:p w:rsidR="00AC6A7F" w:rsidRDefault="00AC6A7F" w:rsidP="003916CD">
            <w:pPr>
              <w:pStyle w:val="ListParagraph"/>
              <w:spacing w:after="120"/>
              <w:ind w:left="0"/>
              <w:contextualSpacing w:val="0"/>
              <w:rPr>
                <w:spacing w:val="-2"/>
                <w:sz w:val="20"/>
                <w:szCs w:val="20"/>
              </w:rPr>
            </w:pPr>
            <w:r w:rsidRPr="000D506B">
              <w:rPr>
                <w:b/>
                <w:spacing w:val="-2"/>
                <w:sz w:val="20"/>
                <w:szCs w:val="20"/>
                <w:u w:val="single"/>
              </w:rPr>
              <w:t>Credit hours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4D0D09">
              <w:rPr>
                <w:spacing w:val="-2"/>
                <w:sz w:val="20"/>
                <w:szCs w:val="20"/>
              </w:rPr>
              <w:t xml:space="preserve">are </w:t>
            </w:r>
            <w:r>
              <w:rPr>
                <w:spacing w:val="-2"/>
                <w:sz w:val="20"/>
                <w:szCs w:val="20"/>
              </w:rPr>
              <w:t xml:space="preserve">defined as </w:t>
            </w:r>
            <w:r w:rsidRPr="004D0D09">
              <w:rPr>
                <w:spacing w:val="-2"/>
                <w:sz w:val="20"/>
                <w:szCs w:val="20"/>
              </w:rPr>
              <w:t>any credit hours the student was enrolled in after the institution</w:t>
            </w:r>
            <w:r>
              <w:rPr>
                <w:spacing w:val="-2"/>
                <w:sz w:val="20"/>
                <w:szCs w:val="20"/>
              </w:rPr>
              <w:t xml:space="preserve">s’ drop/add period had ended. </w:t>
            </w:r>
            <w:r w:rsidRPr="004D0D09">
              <w:rPr>
                <w:spacing w:val="-2"/>
                <w:sz w:val="20"/>
                <w:szCs w:val="20"/>
              </w:rPr>
              <w:t>Include all credit hours for credit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9E58B3">
              <w:rPr>
                <w:sz w:val="20"/>
                <w:szCs w:val="20"/>
              </w:rPr>
              <w:t>(including ESL coursework)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4D0D09">
              <w:rPr>
                <w:spacing w:val="-2"/>
                <w:sz w:val="20"/>
                <w:szCs w:val="20"/>
              </w:rPr>
              <w:t>and developmental courses</w:t>
            </w:r>
            <w:r>
              <w:rPr>
                <w:spacing w:val="-2"/>
                <w:sz w:val="20"/>
                <w:szCs w:val="20"/>
              </w:rPr>
              <w:t>,</w:t>
            </w:r>
            <w:r w:rsidRPr="004D0D09">
              <w:rPr>
                <w:spacing w:val="-2"/>
                <w:sz w:val="20"/>
                <w:szCs w:val="20"/>
              </w:rPr>
              <w:t xml:space="preserve"> converted to credit hours if t</w:t>
            </w:r>
            <w:r>
              <w:rPr>
                <w:spacing w:val="-2"/>
                <w:sz w:val="20"/>
                <w:szCs w:val="20"/>
              </w:rPr>
              <w:t>hey are not offered for credit.</w:t>
            </w:r>
          </w:p>
          <w:p w:rsidR="00AC6A7F" w:rsidRDefault="00AC6A7F" w:rsidP="003916CD">
            <w:pPr>
              <w:pStyle w:val="ListParagraph"/>
              <w:spacing w:after="120"/>
              <w:ind w:left="0"/>
              <w:contextualSpacing w:val="0"/>
              <w:rPr>
                <w:spacing w:val="-2"/>
                <w:sz w:val="20"/>
                <w:szCs w:val="20"/>
              </w:rPr>
            </w:pPr>
            <w:r w:rsidRPr="003916CD">
              <w:rPr>
                <w:rFonts w:cstheme="minorHAnsi"/>
                <w:b/>
                <w:sz w:val="20"/>
                <w:szCs w:val="20"/>
                <w:u w:val="single"/>
              </w:rPr>
              <w:t>Successful completion</w:t>
            </w:r>
            <w:r>
              <w:rPr>
                <w:rFonts w:cstheme="minorHAnsi"/>
                <w:sz w:val="20"/>
                <w:szCs w:val="20"/>
              </w:rPr>
              <w:t xml:space="preserve"> of a course is based on institutional practice of completion as long as the student earned a letter grade of C- or better (or P if the course is offered as pass/fail).</w:t>
            </w:r>
          </w:p>
          <w:p w:rsidR="00AC6A7F" w:rsidRPr="004D0D09" w:rsidRDefault="00AC6A7F" w:rsidP="003916CD">
            <w:pPr>
              <w:spacing w:after="12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All credits included in this measure must be taken at your college.</w:t>
            </w:r>
          </w:p>
        </w:tc>
      </w:tr>
      <w:tr w:rsidR="00AC6A7F" w:rsidTr="000C23B4">
        <w:trPr>
          <w:cantSplit/>
        </w:trPr>
        <w:tc>
          <w:tcPr>
            <w:tcW w:w="0" w:type="auto"/>
            <w:shd w:val="clear" w:color="auto" w:fill="FFF9F3"/>
          </w:tcPr>
          <w:p w:rsidR="00AC6A7F" w:rsidRDefault="00AC6A7F" w:rsidP="003916CD">
            <w:pPr>
              <w:pStyle w:val="ListParagraph"/>
              <w:ind w:left="0"/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>
              <w:rPr>
                <w:rFonts w:cstheme="minorHAnsi"/>
                <w:smallCaps/>
                <w:sz w:val="20"/>
                <w:szCs w:val="20"/>
              </w:rPr>
              <w:t>Metric Calculation</w:t>
            </w:r>
          </w:p>
          <w:p w:rsidR="00AC6A7F" w:rsidRDefault="00AC6A7F" w:rsidP="003916CD">
            <w:pPr>
              <w:pStyle w:val="ListParagraph"/>
              <w:ind w:left="0"/>
              <w:rPr>
                <w:rFonts w:cstheme="minorHAnsi"/>
                <w:smallCaps/>
                <w:sz w:val="20"/>
                <w:szCs w:val="20"/>
              </w:rPr>
            </w:pPr>
            <w:r w:rsidRPr="00980FA4">
              <w:rPr>
                <w:rFonts w:cstheme="minorHAnsi"/>
                <w:smallCaps/>
                <w:sz w:val="20"/>
                <w:szCs w:val="20"/>
              </w:rPr>
              <w:t>Numerator:</w:t>
            </w:r>
          </w:p>
          <w:p w:rsidR="00AC6A7F" w:rsidRPr="00980FA4" w:rsidRDefault="00AC6A7F" w:rsidP="003916CD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8D5F87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sz w:val="20"/>
                <w:szCs w:val="20"/>
              </w:rPr>
              <w:t xml:space="preserve"> Term Credits Successfully Completed</w:t>
            </w:r>
            <w:r>
              <w:rPr>
                <w:rFonts w:cstheme="minorHAnsi"/>
                <w:sz w:val="20"/>
                <w:szCs w:val="20"/>
              </w:rPr>
              <w:br/>
              <w:t>(defined here)</w:t>
            </w:r>
          </w:p>
          <w:p w:rsidR="00AC6A7F" w:rsidRPr="00AC6A7F" w:rsidRDefault="00AC6A7F" w:rsidP="00AC6A7F">
            <w:pPr>
              <w:pStyle w:val="ListParagraph"/>
              <w:ind w:left="0"/>
              <w:rPr>
                <w:rFonts w:cstheme="minorHAnsi"/>
                <w:smallCaps/>
                <w:sz w:val="20"/>
                <w:szCs w:val="20"/>
              </w:rPr>
            </w:pPr>
            <w:r>
              <w:rPr>
                <w:rFonts w:cstheme="minorHAnsi"/>
                <w:smallCaps/>
                <w:sz w:val="20"/>
                <w:szCs w:val="20"/>
              </w:rPr>
              <w:br/>
            </w:r>
            <w:r w:rsidRPr="00980FA4">
              <w:rPr>
                <w:rFonts w:cstheme="minorHAnsi"/>
                <w:smallCaps/>
                <w:sz w:val="20"/>
                <w:szCs w:val="20"/>
              </w:rPr>
              <w:t>Denominator:</w:t>
            </w:r>
            <w:r w:rsidRPr="00980FA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  <w:t>1</w:t>
            </w:r>
            <w:r w:rsidRPr="008D5F87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sz w:val="20"/>
                <w:szCs w:val="20"/>
              </w:rPr>
              <w:t xml:space="preserve"> Term Credit Hours Attempted</w:t>
            </w:r>
            <w:r>
              <w:rPr>
                <w:rFonts w:cstheme="minorHAnsi"/>
                <w:sz w:val="20"/>
                <w:szCs w:val="20"/>
              </w:rPr>
              <w:br/>
              <w:t>(defined here)</w:t>
            </w:r>
          </w:p>
        </w:tc>
        <w:tc>
          <w:tcPr>
            <w:tcW w:w="2393" w:type="pct"/>
            <w:vMerge/>
            <w:shd w:val="clear" w:color="auto" w:fill="FEF6F0"/>
          </w:tcPr>
          <w:p w:rsidR="00AC6A7F" w:rsidRPr="004D0D09" w:rsidRDefault="00AC6A7F" w:rsidP="003916CD">
            <w:pPr>
              <w:spacing w:after="100" w:afterAutospacing="1"/>
              <w:ind w:right="-18"/>
              <w:rPr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FEF6F0"/>
          </w:tcPr>
          <w:p w:rsidR="00AC6A7F" w:rsidRPr="004D0D09" w:rsidRDefault="00AC6A7F" w:rsidP="003916CD">
            <w:pPr>
              <w:spacing w:after="120"/>
              <w:rPr>
                <w:sz w:val="20"/>
                <w:szCs w:val="20"/>
              </w:rPr>
            </w:pPr>
          </w:p>
        </w:tc>
      </w:tr>
      <w:tr w:rsidR="00AC6A7F" w:rsidTr="000C23B4">
        <w:trPr>
          <w:trHeight w:val="5660"/>
        </w:trPr>
        <w:tc>
          <w:tcPr>
            <w:tcW w:w="0" w:type="auto"/>
            <w:shd w:val="clear" w:color="auto" w:fill="auto"/>
          </w:tcPr>
          <w:p w:rsidR="00AC6A7F" w:rsidRPr="001343A5" w:rsidRDefault="00AC6A7F" w:rsidP="003916CD">
            <w:pPr>
              <w:spacing w:after="100" w:afterAutospacing="1"/>
              <w:rPr>
                <w:b/>
              </w:rPr>
            </w:pPr>
            <w:r>
              <w:rPr>
                <w:b/>
              </w:rPr>
              <w:lastRenderedPageBreak/>
              <w:t xml:space="preserve">Percent </w:t>
            </w:r>
            <w:r w:rsidRPr="001343A5">
              <w:rPr>
                <w:b/>
              </w:rPr>
              <w:t>Credit</w:t>
            </w:r>
            <w:r>
              <w:rPr>
                <w:b/>
              </w:rPr>
              <w:t>s</w:t>
            </w:r>
            <w:r w:rsidRPr="001343A5">
              <w:rPr>
                <w:b/>
              </w:rPr>
              <w:t xml:space="preserve"> Success</w:t>
            </w:r>
            <w:r>
              <w:rPr>
                <w:b/>
              </w:rPr>
              <w:t>fully Completed in</w:t>
            </w:r>
            <w:r w:rsidRPr="001343A5">
              <w:rPr>
                <w:b/>
              </w:rPr>
              <w:t xml:space="preserve"> Two Year</w:t>
            </w:r>
            <w:r>
              <w:rPr>
                <w:b/>
              </w:rPr>
              <w:t>s</w:t>
            </w:r>
          </w:p>
          <w:p w:rsidR="00AC6A7F" w:rsidRPr="00E4691B" w:rsidRDefault="00AC6A7F" w:rsidP="003916C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E4691B">
              <w:rPr>
                <w:rFonts w:cstheme="minorHAnsi"/>
                <w:i/>
                <w:sz w:val="20"/>
                <w:szCs w:val="20"/>
              </w:rPr>
              <w:t>Other names:</w:t>
            </w:r>
          </w:p>
          <w:p w:rsidR="00AC6A7F" w:rsidRDefault="00AC6A7F" w:rsidP="003916C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Two Year Credit Success Rate</w:t>
            </w:r>
          </w:p>
          <w:p w:rsidR="00AC6A7F" w:rsidRPr="00B15F0C" w:rsidRDefault="00AC6A7F" w:rsidP="003916CD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2393" w:type="pct"/>
            <w:vMerge w:val="restart"/>
            <w:shd w:val="clear" w:color="auto" w:fill="auto"/>
          </w:tcPr>
          <w:p w:rsidR="00AC6A7F" w:rsidRDefault="00AC6A7F" w:rsidP="003916C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of semester credit hours (not students) attempted at your college during the first two academic years by the cohort that were successfully completed.  </w:t>
            </w:r>
          </w:p>
          <w:p w:rsidR="00AC6A7F" w:rsidRPr="009A4E69" w:rsidRDefault="00AC6A7F" w:rsidP="003916CD">
            <w:pPr>
              <w:spacing w:after="100" w:afterAutospacing="1"/>
              <w:rPr>
                <w:sz w:val="20"/>
                <w:szCs w:val="20"/>
                <w:u w:val="single"/>
              </w:rPr>
            </w:pPr>
            <w:r w:rsidRPr="009A4E69">
              <w:rPr>
                <w:sz w:val="20"/>
                <w:szCs w:val="20"/>
                <w:u w:val="single"/>
              </w:rPr>
              <w:t>What to report</w:t>
            </w:r>
            <w:r w:rsidRPr="009A4E69">
              <w:rPr>
                <w:sz w:val="20"/>
                <w:szCs w:val="20"/>
              </w:rPr>
              <w:t>:</w:t>
            </w:r>
          </w:p>
          <w:p w:rsidR="00AC6A7F" w:rsidRDefault="00AC6A7F" w:rsidP="00AC6A7F">
            <w:pPr>
              <w:pStyle w:val="ListParagraph"/>
              <w:numPr>
                <w:ilvl w:val="0"/>
                <w:numId w:val="1"/>
              </w:numPr>
              <w:spacing w:after="100" w:afterAutospacing="1" w:line="240" w:lineRule="auto"/>
              <w:ind w:left="326" w:hanging="270"/>
              <w:rPr>
                <w:sz w:val="20"/>
                <w:szCs w:val="20"/>
              </w:rPr>
            </w:pPr>
            <w:r w:rsidRPr="00B15F0C">
              <w:rPr>
                <w:smallCaps/>
                <w:spacing w:val="-2"/>
                <w:sz w:val="20"/>
                <w:szCs w:val="20"/>
              </w:rPr>
              <w:t>Numerator:</w:t>
            </w:r>
            <w:r w:rsidRPr="00616ECB">
              <w:rPr>
                <w:sz w:val="20"/>
                <w:szCs w:val="20"/>
              </w:rPr>
              <w:t xml:space="preserve"> number of </w:t>
            </w:r>
            <w:r>
              <w:rPr>
                <w:sz w:val="20"/>
                <w:szCs w:val="20"/>
              </w:rPr>
              <w:t xml:space="preserve">semester </w:t>
            </w:r>
            <w:r w:rsidRPr="000D506B">
              <w:rPr>
                <w:b/>
                <w:sz w:val="20"/>
                <w:szCs w:val="20"/>
                <w:u w:val="single"/>
              </w:rPr>
              <w:t>credit hours</w:t>
            </w:r>
            <w:r w:rsidRPr="000D506B">
              <w:rPr>
                <w:b/>
                <w:sz w:val="20"/>
                <w:szCs w:val="20"/>
              </w:rPr>
              <w:t xml:space="preserve"> successfully completed</w:t>
            </w:r>
            <w:r w:rsidRPr="00616ECB">
              <w:rPr>
                <w:sz w:val="20"/>
                <w:szCs w:val="20"/>
              </w:rPr>
              <w:t xml:space="preserve"> by </w:t>
            </w:r>
            <w:r>
              <w:rPr>
                <w:sz w:val="20"/>
                <w:szCs w:val="20"/>
              </w:rPr>
              <w:t xml:space="preserve">all </w:t>
            </w:r>
            <w:r w:rsidRPr="00616ECB">
              <w:rPr>
                <w:sz w:val="20"/>
                <w:szCs w:val="20"/>
              </w:rPr>
              <w:t xml:space="preserve">students in the </w:t>
            </w:r>
            <w:r>
              <w:rPr>
                <w:sz w:val="20"/>
                <w:szCs w:val="20"/>
              </w:rPr>
              <w:t>cohort b</w:t>
            </w:r>
            <w:r w:rsidRPr="00616ECB">
              <w:rPr>
                <w:sz w:val="20"/>
                <w:szCs w:val="20"/>
              </w:rPr>
              <w:t>y the end of the second academic year</w:t>
            </w:r>
            <w:r>
              <w:rPr>
                <w:sz w:val="20"/>
                <w:szCs w:val="20"/>
              </w:rPr>
              <w:t xml:space="preserve"> (before f</w:t>
            </w:r>
            <w:r w:rsidRPr="00470108">
              <w:rPr>
                <w:sz w:val="20"/>
                <w:szCs w:val="20"/>
              </w:rPr>
              <w:t>all 201</w:t>
            </w:r>
            <w:r>
              <w:rPr>
                <w:sz w:val="20"/>
                <w:szCs w:val="20"/>
              </w:rPr>
              <w:t>6</w:t>
            </w:r>
            <w:r w:rsidRPr="00470108">
              <w:rPr>
                <w:sz w:val="20"/>
                <w:szCs w:val="20"/>
              </w:rPr>
              <w:t xml:space="preserve"> for the </w:t>
            </w:r>
            <w:r>
              <w:rPr>
                <w:sz w:val="20"/>
                <w:szCs w:val="20"/>
              </w:rPr>
              <w:t>Two Year</w:t>
            </w:r>
            <w:r w:rsidRPr="004701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Cohort, and before f</w:t>
            </w:r>
            <w:r w:rsidRPr="00470108">
              <w:rPr>
                <w:sz w:val="20"/>
                <w:szCs w:val="20"/>
              </w:rPr>
              <w:t>all 201</w:t>
            </w:r>
            <w:r>
              <w:rPr>
                <w:sz w:val="20"/>
                <w:szCs w:val="20"/>
              </w:rPr>
              <w:t>2</w:t>
            </w:r>
            <w:r w:rsidRPr="00470108">
              <w:rPr>
                <w:sz w:val="20"/>
                <w:szCs w:val="20"/>
              </w:rPr>
              <w:t xml:space="preserve"> for the </w:t>
            </w:r>
            <w:r>
              <w:rPr>
                <w:sz w:val="20"/>
                <w:szCs w:val="20"/>
              </w:rPr>
              <w:t>Six Year</w:t>
            </w:r>
            <w:r w:rsidRPr="004701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Cohort).  </w:t>
            </w:r>
          </w:p>
          <w:p w:rsidR="00AC6A7F" w:rsidRPr="00616ECB" w:rsidRDefault="00AC6A7F" w:rsidP="003916CD">
            <w:pPr>
              <w:pStyle w:val="ListParagraph"/>
              <w:spacing w:after="100" w:afterAutospacing="1"/>
              <w:ind w:left="326"/>
              <w:rPr>
                <w:sz w:val="20"/>
                <w:szCs w:val="20"/>
              </w:rPr>
            </w:pPr>
          </w:p>
          <w:p w:rsidR="00AC6A7F" w:rsidRDefault="00AC6A7F" w:rsidP="00543A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6" w:hanging="270"/>
              <w:rPr>
                <w:sz w:val="20"/>
                <w:szCs w:val="20"/>
              </w:rPr>
            </w:pPr>
            <w:r w:rsidRPr="00AC6A7F">
              <w:rPr>
                <w:smallCaps/>
                <w:spacing w:val="-2"/>
                <w:sz w:val="20"/>
                <w:szCs w:val="20"/>
              </w:rPr>
              <w:t>Denominator:</w:t>
            </w:r>
            <w:r w:rsidRPr="00AC6A7F">
              <w:rPr>
                <w:spacing w:val="-2"/>
                <w:sz w:val="20"/>
                <w:szCs w:val="20"/>
              </w:rPr>
              <w:t xml:space="preserve"> number of semester </w:t>
            </w:r>
            <w:r w:rsidRPr="00AC6A7F">
              <w:rPr>
                <w:b/>
                <w:spacing w:val="-2"/>
                <w:sz w:val="20"/>
                <w:szCs w:val="20"/>
                <w:u w:val="single"/>
              </w:rPr>
              <w:t>credit hours</w:t>
            </w:r>
            <w:r w:rsidRPr="00AC6A7F">
              <w:rPr>
                <w:b/>
                <w:spacing w:val="-2"/>
                <w:sz w:val="20"/>
                <w:szCs w:val="20"/>
              </w:rPr>
              <w:t xml:space="preserve"> attempted</w:t>
            </w:r>
            <w:r w:rsidRPr="00AC6A7F">
              <w:rPr>
                <w:spacing w:val="-2"/>
                <w:sz w:val="20"/>
                <w:szCs w:val="20"/>
              </w:rPr>
              <w:t xml:space="preserve"> by all students in the cohort from the beginning of their first, fall term through</w:t>
            </w:r>
            <w:r w:rsidRPr="00AC6A7F">
              <w:rPr>
                <w:sz w:val="20"/>
                <w:szCs w:val="20"/>
              </w:rPr>
              <w:t xml:space="preserve"> the end of the end of their second acade</w:t>
            </w:r>
            <w:bookmarkStart w:id="1" w:name="_GoBack"/>
            <w:bookmarkEnd w:id="1"/>
            <w:r w:rsidRPr="00AC6A7F">
              <w:rPr>
                <w:sz w:val="20"/>
                <w:szCs w:val="20"/>
              </w:rPr>
              <w:t xml:space="preserve">mic year (before fall 2016 for the Two Year Cohort, and before fall 2012 for the Six Year Cohort).  </w:t>
            </w:r>
          </w:p>
          <w:p w:rsidR="00AC6A7F" w:rsidRPr="00AC6A7F" w:rsidRDefault="00AC6A7F" w:rsidP="00AC6A7F">
            <w:pPr>
              <w:pStyle w:val="ListParagraph"/>
              <w:rPr>
                <w:sz w:val="20"/>
                <w:szCs w:val="20"/>
              </w:rPr>
            </w:pPr>
          </w:p>
          <w:p w:rsidR="00AC6A7F" w:rsidRPr="00AC6A7F" w:rsidRDefault="00AC6A7F" w:rsidP="00AC6A7F">
            <w:pPr>
              <w:pStyle w:val="ListParagraph"/>
              <w:spacing w:after="0" w:line="240" w:lineRule="auto"/>
              <w:ind w:left="326"/>
              <w:rPr>
                <w:sz w:val="20"/>
                <w:szCs w:val="20"/>
              </w:rPr>
            </w:pPr>
          </w:p>
          <w:p w:rsidR="00AC6A7F" w:rsidRPr="00AC6A7F" w:rsidRDefault="00AC6A7F" w:rsidP="00AC6A7F">
            <w:pPr>
              <w:spacing w:after="0" w:line="240" w:lineRule="auto"/>
              <w:rPr>
                <w:sz w:val="20"/>
                <w:szCs w:val="20"/>
              </w:rPr>
            </w:pPr>
            <w:r w:rsidRPr="008257DE">
              <w:rPr>
                <w:sz w:val="20"/>
                <w:szCs w:val="20"/>
              </w:rPr>
              <w:t>Post-high school credits successfully completed in the summer prior to their first fall term should be included in this metric.</w:t>
            </w:r>
          </w:p>
        </w:tc>
        <w:tc>
          <w:tcPr>
            <w:tcW w:w="1238" w:type="pct"/>
            <w:vMerge w:val="restart"/>
            <w:shd w:val="clear" w:color="auto" w:fill="auto"/>
          </w:tcPr>
          <w:p w:rsidR="00AC6A7F" w:rsidRDefault="00AC6A7F" w:rsidP="003916CD">
            <w:pPr>
              <w:spacing w:after="120"/>
              <w:rPr>
                <w:i/>
                <w:sz w:val="18"/>
                <w:szCs w:val="18"/>
              </w:rPr>
            </w:pPr>
            <w:r w:rsidRPr="004D0D09">
              <w:rPr>
                <w:sz w:val="20"/>
                <w:szCs w:val="20"/>
              </w:rPr>
              <w:t xml:space="preserve">For this measure, </w:t>
            </w:r>
            <w:r w:rsidRPr="000D506B">
              <w:rPr>
                <w:sz w:val="20"/>
                <w:szCs w:val="20"/>
                <w:u w:val="single"/>
              </w:rPr>
              <w:t>both</w:t>
            </w:r>
            <w:r w:rsidRPr="004D0D09">
              <w:rPr>
                <w:sz w:val="20"/>
                <w:szCs w:val="20"/>
              </w:rPr>
              <w:t xml:space="preserve"> the numerator and denominator</w:t>
            </w:r>
            <w:r>
              <w:rPr>
                <w:sz w:val="20"/>
                <w:szCs w:val="20"/>
              </w:rPr>
              <w:t xml:space="preserve"> are calculated and reported</w:t>
            </w:r>
            <w:r w:rsidRPr="004D0D09">
              <w:rPr>
                <w:sz w:val="20"/>
                <w:szCs w:val="20"/>
              </w:rPr>
              <w:t>.</w:t>
            </w:r>
            <w:r w:rsidRPr="004D0D09">
              <w:rPr>
                <w:i/>
                <w:sz w:val="18"/>
                <w:szCs w:val="18"/>
              </w:rPr>
              <w:t xml:space="preserve"> </w:t>
            </w:r>
          </w:p>
          <w:p w:rsidR="00AC6A7F" w:rsidRPr="004D0D09" w:rsidRDefault="00AC6A7F" w:rsidP="003916CD">
            <w:pPr>
              <w:spacing w:after="120"/>
              <w:rPr>
                <w:sz w:val="18"/>
                <w:szCs w:val="18"/>
              </w:rPr>
            </w:pPr>
            <w:r w:rsidRPr="00B15F0C">
              <w:rPr>
                <w:smallCaps/>
                <w:spacing w:val="-2"/>
                <w:sz w:val="20"/>
                <w:szCs w:val="20"/>
              </w:rPr>
              <w:t>Note:</w:t>
            </w:r>
            <w:r w:rsidRPr="004D0D09">
              <w:rPr>
                <w:sz w:val="18"/>
                <w:szCs w:val="18"/>
              </w:rPr>
              <w:t xml:space="preserve"> </w:t>
            </w:r>
            <w:r w:rsidRPr="00B15F0C">
              <w:rPr>
                <w:spacing w:val="-2"/>
                <w:sz w:val="20"/>
                <w:szCs w:val="20"/>
              </w:rPr>
              <w:t xml:space="preserve">This is a </w:t>
            </w:r>
            <w:r>
              <w:rPr>
                <w:spacing w:val="-2"/>
                <w:sz w:val="20"/>
                <w:szCs w:val="20"/>
              </w:rPr>
              <w:t>count</w:t>
            </w:r>
            <w:r w:rsidRPr="00B15F0C">
              <w:rPr>
                <w:spacing w:val="-2"/>
                <w:sz w:val="20"/>
                <w:szCs w:val="20"/>
              </w:rPr>
              <w:t xml:space="preserve"> of credit hours, not a count of students.</w:t>
            </w:r>
          </w:p>
          <w:p w:rsidR="00AC6A7F" w:rsidRDefault="00AC6A7F" w:rsidP="003916CD">
            <w:pPr>
              <w:spacing w:after="120"/>
              <w:rPr>
                <w:sz w:val="20"/>
                <w:szCs w:val="20"/>
              </w:rPr>
            </w:pPr>
            <w:r w:rsidRPr="000D506B">
              <w:rPr>
                <w:b/>
                <w:spacing w:val="-2"/>
                <w:sz w:val="20"/>
                <w:szCs w:val="20"/>
                <w:u w:val="single"/>
              </w:rPr>
              <w:t>Credit hours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4D0D09">
              <w:rPr>
                <w:spacing w:val="-2"/>
                <w:sz w:val="20"/>
                <w:szCs w:val="20"/>
              </w:rPr>
              <w:t xml:space="preserve">are </w:t>
            </w:r>
            <w:r>
              <w:rPr>
                <w:spacing w:val="-2"/>
                <w:sz w:val="20"/>
                <w:szCs w:val="20"/>
              </w:rPr>
              <w:t xml:space="preserve">defined as </w:t>
            </w:r>
            <w:r w:rsidRPr="00616ECB">
              <w:rPr>
                <w:sz w:val="20"/>
                <w:szCs w:val="20"/>
              </w:rPr>
              <w:t>any credit hours the student was enrolled in after the institutions’ drop/add period had ended. Include all credit hours for credit</w:t>
            </w:r>
            <w:r>
              <w:rPr>
                <w:sz w:val="20"/>
                <w:szCs w:val="20"/>
              </w:rPr>
              <w:t xml:space="preserve"> </w:t>
            </w:r>
            <w:r w:rsidRPr="009E58B3">
              <w:rPr>
                <w:sz w:val="20"/>
                <w:szCs w:val="20"/>
              </w:rPr>
              <w:t>(including ESL coursework)</w:t>
            </w:r>
            <w:r>
              <w:rPr>
                <w:sz w:val="20"/>
                <w:szCs w:val="20"/>
              </w:rPr>
              <w:t xml:space="preserve"> and </w:t>
            </w:r>
            <w:r w:rsidRPr="00616ECB">
              <w:rPr>
                <w:sz w:val="20"/>
                <w:szCs w:val="20"/>
              </w:rPr>
              <w:t>developmental courses converted to credit hours if t</w:t>
            </w:r>
            <w:r>
              <w:rPr>
                <w:sz w:val="20"/>
                <w:szCs w:val="20"/>
              </w:rPr>
              <w:t>hey are not offered for credit.</w:t>
            </w:r>
          </w:p>
          <w:p w:rsidR="00AC6A7F" w:rsidRDefault="00AC6A7F" w:rsidP="003916CD">
            <w:pPr>
              <w:pStyle w:val="ListParagraph"/>
              <w:spacing w:after="120"/>
              <w:ind w:left="0"/>
              <w:contextualSpacing w:val="0"/>
              <w:rPr>
                <w:spacing w:val="-2"/>
                <w:sz w:val="20"/>
                <w:szCs w:val="20"/>
              </w:rPr>
            </w:pPr>
            <w:r w:rsidRPr="00391690">
              <w:rPr>
                <w:rFonts w:cstheme="minorHAnsi"/>
                <w:b/>
                <w:sz w:val="20"/>
                <w:szCs w:val="20"/>
                <w:u w:val="single"/>
              </w:rPr>
              <w:t>Successful completion</w:t>
            </w:r>
            <w:r>
              <w:rPr>
                <w:rFonts w:cstheme="minorHAnsi"/>
                <w:sz w:val="20"/>
                <w:szCs w:val="20"/>
              </w:rPr>
              <w:t xml:space="preserve"> of a course is based on institutional practice of completion as long as the student earned a letter grade of C- or better (or P if the course is offered as pass/fail).</w:t>
            </w:r>
          </w:p>
          <w:p w:rsidR="00AC6A7F" w:rsidRPr="004D0D09" w:rsidRDefault="00AC6A7F" w:rsidP="003916CD">
            <w:pPr>
              <w:spacing w:after="12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All credits included in this measure must be taken at your college.</w:t>
            </w:r>
          </w:p>
        </w:tc>
      </w:tr>
      <w:tr w:rsidR="00AC6A7F" w:rsidTr="000C23B4">
        <w:trPr>
          <w:trHeight w:val="1880"/>
        </w:trPr>
        <w:tc>
          <w:tcPr>
            <w:tcW w:w="0" w:type="auto"/>
            <w:shd w:val="clear" w:color="auto" w:fill="auto"/>
          </w:tcPr>
          <w:p w:rsidR="00AC6A7F" w:rsidRDefault="00AC6A7F" w:rsidP="003916CD">
            <w:pPr>
              <w:pStyle w:val="ListParagraph"/>
              <w:ind w:left="0"/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>
              <w:rPr>
                <w:rFonts w:cstheme="minorHAnsi"/>
                <w:smallCaps/>
                <w:sz w:val="20"/>
                <w:szCs w:val="20"/>
              </w:rPr>
              <w:t>Metric Calculation</w:t>
            </w:r>
          </w:p>
          <w:p w:rsidR="00AC6A7F" w:rsidRDefault="00AC6A7F" w:rsidP="003916CD">
            <w:pPr>
              <w:pStyle w:val="ListParagraph"/>
              <w:ind w:left="0"/>
              <w:rPr>
                <w:rFonts w:cstheme="minorHAnsi"/>
                <w:smallCaps/>
                <w:sz w:val="20"/>
                <w:szCs w:val="20"/>
              </w:rPr>
            </w:pPr>
            <w:r w:rsidRPr="00980FA4">
              <w:rPr>
                <w:rFonts w:cstheme="minorHAnsi"/>
                <w:smallCaps/>
                <w:sz w:val="20"/>
                <w:szCs w:val="20"/>
              </w:rPr>
              <w:t>Numerator:</w:t>
            </w:r>
          </w:p>
          <w:p w:rsidR="00AC6A7F" w:rsidRPr="00980FA4" w:rsidRDefault="00AC6A7F" w:rsidP="003916CD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Two Year Credits Successfully Completed</w:t>
            </w:r>
            <w:r>
              <w:rPr>
                <w:rFonts w:cstheme="minorHAnsi"/>
                <w:sz w:val="20"/>
                <w:szCs w:val="20"/>
              </w:rPr>
              <w:br/>
              <w:t>(defined here)</w:t>
            </w:r>
          </w:p>
          <w:p w:rsidR="00AC6A7F" w:rsidRPr="00B15F0C" w:rsidRDefault="00AC6A7F" w:rsidP="003916CD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smallCaps/>
                <w:sz w:val="20"/>
                <w:szCs w:val="20"/>
              </w:rPr>
              <w:br/>
            </w:r>
            <w:r w:rsidRPr="00980FA4">
              <w:rPr>
                <w:rFonts w:cstheme="minorHAnsi"/>
                <w:smallCaps/>
                <w:sz w:val="20"/>
                <w:szCs w:val="20"/>
              </w:rPr>
              <w:t>Denominator:</w:t>
            </w:r>
            <w:r w:rsidRPr="00980FA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  <w:t>Two Year Credit Hours Attempted</w:t>
            </w:r>
            <w:r>
              <w:rPr>
                <w:rFonts w:cstheme="minorHAnsi"/>
                <w:sz w:val="20"/>
                <w:szCs w:val="20"/>
              </w:rPr>
              <w:br/>
              <w:t>(defined here)</w:t>
            </w:r>
          </w:p>
        </w:tc>
        <w:tc>
          <w:tcPr>
            <w:tcW w:w="2393" w:type="pct"/>
            <w:vMerge/>
            <w:shd w:val="clear" w:color="auto" w:fill="auto"/>
          </w:tcPr>
          <w:p w:rsidR="00AC6A7F" w:rsidRDefault="00AC6A7F" w:rsidP="003916C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</w:tcPr>
          <w:p w:rsidR="00AC6A7F" w:rsidRPr="004D0D09" w:rsidRDefault="00AC6A7F" w:rsidP="003916CD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F37B38" w:rsidRDefault="00F37B38"/>
    <w:p w:rsidR="006530EF" w:rsidRDefault="006530EF"/>
    <w:sectPr w:rsidR="006530EF" w:rsidSect="000C23B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12C8D"/>
    <w:multiLevelType w:val="hybridMultilevel"/>
    <w:tmpl w:val="9E0CC73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5F7281"/>
    <w:multiLevelType w:val="hybridMultilevel"/>
    <w:tmpl w:val="3F586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F00F1"/>
    <w:multiLevelType w:val="hybridMultilevel"/>
    <w:tmpl w:val="A8A2CA24"/>
    <w:lvl w:ilvl="0" w:tplc="801E5E3E">
      <w:start w:val="1"/>
      <w:numFmt w:val="bullet"/>
      <w:lvlText w:val=""/>
      <w:lvlJc w:val="left"/>
      <w:pPr>
        <w:ind w:left="1022" w:hanging="30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770BE"/>
    <w:multiLevelType w:val="hybridMultilevel"/>
    <w:tmpl w:val="AECC4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7F"/>
    <w:rsid w:val="000C23B4"/>
    <w:rsid w:val="006530EF"/>
    <w:rsid w:val="008257DE"/>
    <w:rsid w:val="00AC6A7F"/>
    <w:rsid w:val="00F3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D6173-4F4E-45D2-990A-A31FB350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A7F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3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A7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6A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30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23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EC4BF29CD8D4487C7AF04CBA99993" ma:contentTypeVersion="1" ma:contentTypeDescription="Create a new document." ma:contentTypeScope="" ma:versionID="65ed2610a5cba005be8e216f5209ab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e719bc752a0c41c532d2795c283f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795931-3B7A-40B2-BCA2-71DABF6C8CC7}"/>
</file>

<file path=customXml/itemProps2.xml><?xml version="1.0" encoding="utf-8"?>
<ds:datastoreItem xmlns:ds="http://schemas.openxmlformats.org/officeDocument/2006/customXml" ds:itemID="{C915A028-7C48-43B2-932A-BB6189923818}"/>
</file>

<file path=customXml/itemProps3.xml><?xml version="1.0" encoding="utf-8"?>
<ds:datastoreItem xmlns:ds="http://schemas.openxmlformats.org/officeDocument/2006/customXml" ds:itemID="{D0B7E915-F5D6-4C8C-B609-59814E2F1F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CULLITY</dc:creator>
  <cp:keywords/>
  <dc:description/>
  <cp:lastModifiedBy>DAWN CULLITY</cp:lastModifiedBy>
  <cp:revision>3</cp:revision>
  <dcterms:created xsi:type="dcterms:W3CDTF">2016-11-21T19:16:00Z</dcterms:created>
  <dcterms:modified xsi:type="dcterms:W3CDTF">2016-11-22T16:50:00Z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0x010100B6AEC4BF29CD8D4487C7AF04CBA99993</vt:lpwstr>
  </property>
</Properties>
</file>